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C73FF" w14:textId="7DAE55E0" w:rsidR="00C61766" w:rsidRDefault="00A043FB" w:rsidP="00C61766">
      <w:pPr>
        <w:pStyle w:val="Heading11"/>
        <w:numPr>
          <w:ilvl w:val="0"/>
          <w:numId w:val="0"/>
        </w:numPr>
        <w:jc w:val="center"/>
      </w:pPr>
      <w:bookmarkStart w:id="0" w:name="_GoBack"/>
      <w:bookmarkEnd w:id="0"/>
      <w:r>
        <w:t>FATF</w:t>
      </w:r>
      <w:r w:rsidR="00C61766">
        <w:t xml:space="preserve"> PUBLIC CONSULTATION</w:t>
      </w:r>
    </w:p>
    <w:p w14:paraId="09753157" w14:textId="119E3A65" w:rsidR="00C61766" w:rsidRDefault="00C61766" w:rsidP="00C61766">
      <w:pPr>
        <w:jc w:val="center"/>
      </w:pPr>
    </w:p>
    <w:p w14:paraId="3CF8ACA2" w14:textId="7AE629C3" w:rsidR="00A043FB" w:rsidRDefault="00A043FB" w:rsidP="00A043FB">
      <w:pPr>
        <w:jc w:val="center"/>
        <w:rPr>
          <w:b/>
          <w:bCs/>
        </w:rPr>
      </w:pPr>
      <w:r>
        <w:rPr>
          <w:b/>
          <w:bCs/>
        </w:rPr>
        <w:t>Revision of R25 and its Interpretive Note</w:t>
      </w:r>
    </w:p>
    <w:p w14:paraId="2B039A98" w14:textId="77777777" w:rsidR="00A043FB" w:rsidRDefault="00A043FB" w:rsidP="00A043FB"/>
    <w:p w14:paraId="444E8798" w14:textId="77777777" w:rsidR="00A043FB" w:rsidRDefault="00A043FB" w:rsidP="00A043FB">
      <w:pPr>
        <w:pStyle w:val="NormalWeb"/>
        <w:shd w:val="clear" w:color="auto" w:fill="FFFFFF"/>
        <w:spacing w:before="0" w:beforeAutospacing="0" w:after="150" w:afterAutospacing="0"/>
        <w:jc w:val="both"/>
        <w:rPr>
          <w:rFonts w:ascii="Calibri" w:hAnsi="Calibri" w:cs="Calibri"/>
          <w:color w:val="333333"/>
          <w:sz w:val="22"/>
          <w:szCs w:val="22"/>
        </w:rPr>
      </w:pPr>
      <w:r>
        <w:rPr>
          <w:rFonts w:ascii="Calibri" w:hAnsi="Calibri" w:cs="Calibri"/>
          <w:color w:val="333333"/>
          <w:sz w:val="22"/>
          <w:szCs w:val="22"/>
        </w:rPr>
        <w:t xml:space="preserve">The Financial Action Task Force (FATF) is conducting a review of Recommendation 25 and its Interpretive Note (R.25/INR.25) on the transparency and beneficial ownership (BO) of legal arrangements. The FATF is also considering amendment of </w:t>
      </w:r>
      <w:r w:rsidRPr="00A4159C">
        <w:rPr>
          <w:rFonts w:ascii="Calibri" w:hAnsi="Calibri" w:cs="Calibri"/>
          <w:color w:val="333333"/>
          <w:sz w:val="22"/>
          <w:szCs w:val="22"/>
        </w:rPr>
        <w:t>the definition of beneficial ownership in the glossary, to provide more clarity regarding legal arrangements.</w:t>
      </w:r>
      <w:r>
        <w:rPr>
          <w:rFonts w:ascii="Calibri" w:hAnsi="Calibri" w:cs="Calibri"/>
          <w:color w:val="333333"/>
          <w:sz w:val="22"/>
          <w:szCs w:val="22"/>
        </w:rPr>
        <w:t xml:space="preserve"> </w:t>
      </w:r>
    </w:p>
    <w:p w14:paraId="13B4ABE9" w14:textId="77777777" w:rsidR="00A043FB" w:rsidRDefault="00A043FB" w:rsidP="00A043FB">
      <w:pPr>
        <w:pStyle w:val="NormalWeb"/>
        <w:shd w:val="clear" w:color="auto" w:fill="FFFFFF"/>
        <w:spacing w:after="150"/>
        <w:jc w:val="both"/>
        <w:rPr>
          <w:rFonts w:ascii="Calibri" w:hAnsi="Calibri" w:cs="Calibri"/>
          <w:color w:val="333333"/>
          <w:sz w:val="22"/>
          <w:szCs w:val="22"/>
        </w:rPr>
      </w:pPr>
      <w:r>
        <w:rPr>
          <w:rFonts w:ascii="Calibri" w:hAnsi="Calibri" w:cs="Calibri"/>
          <w:color w:val="333333"/>
          <w:sz w:val="22"/>
          <w:szCs w:val="22"/>
        </w:rPr>
        <w:t>The FATF’s objective is to improve R.25 and its Interpretive Note to better meet its stated objective to prevent the misuse of legal arrangements for money laundering or terrorist financing.</w:t>
      </w:r>
    </w:p>
    <w:p w14:paraId="1533CD62" w14:textId="77777777" w:rsidR="00A043FB" w:rsidRDefault="00A043FB" w:rsidP="00A043FB">
      <w:pPr>
        <w:pStyle w:val="NormalWeb"/>
        <w:shd w:val="clear" w:color="auto" w:fill="FFFFFF"/>
        <w:spacing w:after="150"/>
        <w:jc w:val="both"/>
        <w:rPr>
          <w:rFonts w:ascii="Calibri" w:hAnsi="Calibri" w:cs="Calibri"/>
          <w:color w:val="333333"/>
          <w:sz w:val="22"/>
          <w:szCs w:val="22"/>
        </w:rPr>
      </w:pPr>
      <w:r>
        <w:rPr>
          <w:rFonts w:ascii="Calibri" w:hAnsi="Calibri" w:cs="Calibri"/>
          <w:color w:val="333333"/>
          <w:sz w:val="22"/>
          <w:szCs w:val="22"/>
        </w:rPr>
        <w:t xml:space="preserve">In June 2022, FATF carried out a high-level white paper consultation on key policy questions. Based on consultation response proposals for amendment to R.25/INR.25 have been further revised. The FATF’s work in this area is ongoing and will benefit from contributions from all stakeholders, including trustees, financial institutions, designated non-financial businesses and professions (DNFBPs), and non-profit organisations. </w:t>
      </w:r>
    </w:p>
    <w:p w14:paraId="7F5AE3DE" w14:textId="77777777" w:rsidR="00A043FB" w:rsidRDefault="00A043FB" w:rsidP="00A043FB">
      <w:pPr>
        <w:pStyle w:val="NormalWeb"/>
        <w:shd w:val="clear" w:color="auto" w:fill="FFFFFF"/>
        <w:spacing w:before="0" w:beforeAutospacing="0" w:after="150" w:afterAutospacing="0"/>
        <w:rPr>
          <w:rFonts w:ascii="Calibri" w:hAnsi="Calibri" w:cs="Calibri"/>
          <w:color w:val="333333"/>
          <w:sz w:val="22"/>
          <w:szCs w:val="22"/>
        </w:rPr>
      </w:pPr>
      <w:r>
        <w:rPr>
          <w:rFonts w:ascii="Calibri" w:hAnsi="Calibri" w:cs="Calibri"/>
          <w:color w:val="333333"/>
          <w:sz w:val="22"/>
          <w:szCs w:val="22"/>
        </w:rPr>
        <w:t>In particular, the FATF would welcome comments on the following:</w:t>
      </w:r>
    </w:p>
    <w:p w14:paraId="5CE4AF7C" w14:textId="77777777" w:rsidR="00A043FB" w:rsidRDefault="00A043FB" w:rsidP="00A043FB">
      <w:pPr>
        <w:pStyle w:val="NormalWeb"/>
        <w:numPr>
          <w:ilvl w:val="0"/>
          <w:numId w:val="2"/>
        </w:numPr>
        <w:shd w:val="clear" w:color="auto" w:fill="FFFFFF"/>
        <w:spacing w:before="0" w:beforeAutospacing="0" w:after="150" w:afterAutospacing="0"/>
        <w:rPr>
          <w:rFonts w:ascii="Calibri" w:hAnsi="Calibri" w:cs="Calibri"/>
          <w:color w:val="333333"/>
          <w:sz w:val="22"/>
          <w:szCs w:val="22"/>
        </w:rPr>
      </w:pPr>
      <w:r>
        <w:rPr>
          <w:rFonts w:ascii="Calibri" w:hAnsi="Calibri" w:cs="Calibri"/>
          <w:color w:val="333333"/>
          <w:sz w:val="22"/>
          <w:szCs w:val="22"/>
        </w:rPr>
        <w:t xml:space="preserve">Are FATF proposals </w:t>
      </w:r>
      <w:r>
        <w:rPr>
          <w:rFonts w:ascii="Calibri" w:hAnsi="Calibri" w:cs="Calibri"/>
          <w:b/>
          <w:bCs/>
          <w:color w:val="333333"/>
          <w:sz w:val="22"/>
          <w:szCs w:val="22"/>
        </w:rPr>
        <w:t>adequate</w:t>
      </w:r>
      <w:r>
        <w:rPr>
          <w:rFonts w:ascii="Calibri" w:hAnsi="Calibri" w:cs="Calibri"/>
          <w:color w:val="333333"/>
          <w:sz w:val="22"/>
          <w:szCs w:val="22"/>
        </w:rPr>
        <w:t xml:space="preserve"> to mitigate the risk of misuse of legal arrangements and to ensure access to BO information?</w:t>
      </w:r>
    </w:p>
    <w:p w14:paraId="4C2D215B" w14:textId="77777777" w:rsidR="00A043FB" w:rsidRDefault="00A043FB" w:rsidP="00A043FB">
      <w:pPr>
        <w:pStyle w:val="NormalWeb"/>
        <w:numPr>
          <w:ilvl w:val="0"/>
          <w:numId w:val="2"/>
        </w:numPr>
        <w:shd w:val="clear" w:color="auto" w:fill="FFFFFF"/>
        <w:spacing w:before="0" w:beforeAutospacing="0" w:after="150" w:afterAutospacing="0"/>
        <w:rPr>
          <w:rFonts w:ascii="Calibri" w:hAnsi="Calibri" w:cs="Calibri"/>
          <w:color w:val="333333"/>
          <w:sz w:val="22"/>
          <w:szCs w:val="22"/>
        </w:rPr>
      </w:pPr>
      <w:r>
        <w:rPr>
          <w:rFonts w:ascii="Calibri" w:hAnsi="Calibri" w:cs="Calibri"/>
          <w:color w:val="333333"/>
          <w:sz w:val="22"/>
          <w:szCs w:val="22"/>
        </w:rPr>
        <w:t xml:space="preserve">Are proposals </w:t>
      </w:r>
      <w:r>
        <w:rPr>
          <w:rFonts w:ascii="Calibri" w:hAnsi="Calibri" w:cs="Calibri"/>
          <w:b/>
          <w:bCs/>
          <w:color w:val="333333"/>
          <w:sz w:val="22"/>
          <w:szCs w:val="22"/>
        </w:rPr>
        <w:t>clear</w:t>
      </w:r>
      <w:r>
        <w:rPr>
          <w:rFonts w:ascii="Calibri" w:hAnsi="Calibri" w:cs="Calibri"/>
          <w:color w:val="333333"/>
          <w:sz w:val="22"/>
          <w:szCs w:val="22"/>
        </w:rPr>
        <w:t xml:space="preserve"> and are there any issues which need </w:t>
      </w:r>
      <w:r>
        <w:rPr>
          <w:rFonts w:ascii="Calibri" w:hAnsi="Calibri" w:cs="Calibri"/>
          <w:b/>
          <w:bCs/>
          <w:color w:val="333333"/>
          <w:sz w:val="22"/>
          <w:szCs w:val="22"/>
        </w:rPr>
        <w:t>further clarification</w:t>
      </w:r>
      <w:r>
        <w:rPr>
          <w:rFonts w:ascii="Calibri" w:hAnsi="Calibri" w:cs="Calibri"/>
          <w:color w:val="333333"/>
          <w:sz w:val="22"/>
          <w:szCs w:val="22"/>
        </w:rPr>
        <w:t xml:space="preserve"> or that should be addressed in guidance? </w:t>
      </w:r>
    </w:p>
    <w:p w14:paraId="7A657CD1" w14:textId="77777777" w:rsidR="00A043FB" w:rsidRDefault="00A043FB" w:rsidP="00A043FB">
      <w:pPr>
        <w:pStyle w:val="NormalWeb"/>
        <w:numPr>
          <w:ilvl w:val="0"/>
          <w:numId w:val="2"/>
        </w:numPr>
        <w:shd w:val="clear" w:color="auto" w:fill="FFFFFF"/>
        <w:spacing w:before="0" w:beforeAutospacing="0" w:after="150" w:afterAutospacing="0"/>
        <w:rPr>
          <w:rFonts w:ascii="Calibri" w:hAnsi="Calibri" w:cs="Calibri"/>
          <w:color w:val="333333"/>
          <w:sz w:val="22"/>
          <w:szCs w:val="22"/>
        </w:rPr>
      </w:pPr>
      <w:r>
        <w:rPr>
          <w:rFonts w:ascii="Calibri" w:hAnsi="Calibri" w:cs="Calibri"/>
          <w:color w:val="333333"/>
          <w:sz w:val="22"/>
          <w:szCs w:val="22"/>
        </w:rPr>
        <w:t xml:space="preserve">What is the </w:t>
      </w:r>
      <w:r>
        <w:rPr>
          <w:rFonts w:ascii="Calibri" w:hAnsi="Calibri" w:cs="Calibri"/>
          <w:b/>
          <w:bCs/>
          <w:color w:val="333333"/>
          <w:sz w:val="22"/>
          <w:szCs w:val="22"/>
        </w:rPr>
        <w:t>expected impact</w:t>
      </w:r>
      <w:r>
        <w:rPr>
          <w:rFonts w:ascii="Calibri" w:hAnsi="Calibri" w:cs="Calibri"/>
          <w:color w:val="333333"/>
          <w:sz w:val="22"/>
          <w:szCs w:val="22"/>
        </w:rPr>
        <w:t xml:space="preserve"> of the proposals on legitimate activity? In particular, what are the </w:t>
      </w:r>
      <w:r>
        <w:rPr>
          <w:rFonts w:ascii="Calibri" w:hAnsi="Calibri" w:cs="Calibri"/>
          <w:b/>
          <w:bCs/>
          <w:color w:val="333333"/>
          <w:sz w:val="22"/>
          <w:szCs w:val="22"/>
        </w:rPr>
        <w:t>challenges for implementation</w:t>
      </w:r>
      <w:r>
        <w:rPr>
          <w:rFonts w:ascii="Calibri" w:hAnsi="Calibri" w:cs="Calibri"/>
          <w:color w:val="333333"/>
          <w:sz w:val="22"/>
          <w:szCs w:val="22"/>
        </w:rPr>
        <w:t>?</w:t>
      </w:r>
    </w:p>
    <w:p w14:paraId="2272592F" w14:textId="05715E7C" w:rsidR="00A043FB" w:rsidRDefault="00A043FB" w:rsidP="00A043FB">
      <w:pPr>
        <w:pStyle w:val="NormalWeb"/>
        <w:shd w:val="clear" w:color="auto" w:fill="FFFFFF"/>
        <w:spacing w:before="0" w:beforeAutospacing="0" w:after="150" w:afterAutospacing="0"/>
        <w:rPr>
          <w:rFonts w:ascii="Calibri" w:hAnsi="Calibri" w:cs="Calibri"/>
          <w:color w:val="333333"/>
          <w:sz w:val="22"/>
          <w:szCs w:val="22"/>
        </w:rPr>
      </w:pPr>
      <w:r>
        <w:rPr>
          <w:rFonts w:ascii="Calibri" w:hAnsi="Calibri" w:cs="Calibri"/>
          <w:color w:val="333333"/>
          <w:sz w:val="22"/>
          <w:szCs w:val="22"/>
        </w:rPr>
        <w:t xml:space="preserve">The draft proposals can be found </w:t>
      </w:r>
      <w:r>
        <w:rPr>
          <w:rFonts w:ascii="Calibri" w:hAnsi="Calibri" w:cs="Calibri"/>
          <w:b/>
          <w:bCs/>
          <w:color w:val="333333"/>
          <w:sz w:val="22"/>
          <w:szCs w:val="22"/>
          <w:highlight w:val="yellow"/>
        </w:rPr>
        <w:t>below.</w:t>
      </w:r>
      <w:r>
        <w:rPr>
          <w:rFonts w:ascii="Calibri" w:hAnsi="Calibri" w:cs="Calibri"/>
          <w:color w:val="333333"/>
          <w:sz w:val="22"/>
          <w:szCs w:val="22"/>
        </w:rPr>
        <w:br/>
      </w:r>
    </w:p>
    <w:p w14:paraId="17D43246" w14:textId="77777777" w:rsidR="00A043FB" w:rsidRDefault="00A043FB" w:rsidP="00A043FB">
      <w:pPr>
        <w:pStyle w:val="NormalWeb"/>
        <w:shd w:val="clear" w:color="auto" w:fill="FFFFFF"/>
        <w:spacing w:after="150"/>
        <w:rPr>
          <w:rFonts w:ascii="Calibri" w:hAnsi="Calibri" w:cs="Calibri"/>
          <w:color w:val="333333"/>
          <w:sz w:val="22"/>
          <w:szCs w:val="22"/>
        </w:rPr>
      </w:pPr>
      <w:r>
        <w:rPr>
          <w:rFonts w:ascii="Calibri" w:hAnsi="Calibri" w:cs="Calibri"/>
          <w:color w:val="333333"/>
          <w:sz w:val="22"/>
          <w:szCs w:val="22"/>
        </w:rPr>
        <w:t>Please provide your response, including any drafting proposals to </w:t>
      </w:r>
      <w:hyperlink r:id="rId7" w:history="1">
        <w:r>
          <w:rPr>
            <w:rStyle w:val="Hyperlink"/>
            <w:rFonts w:ascii="Calibri" w:hAnsi="Calibri" w:cs="Calibri"/>
            <w:color w:val="0090B4"/>
            <w:sz w:val="22"/>
            <w:szCs w:val="22"/>
          </w:rPr>
          <w:t>FATF.Publicconsultation@fatf-gafi.org</w:t>
        </w:r>
      </w:hyperlink>
      <w:r>
        <w:rPr>
          <w:rFonts w:ascii="Calibri" w:hAnsi="Calibri" w:cs="Calibri"/>
          <w:color w:val="333333"/>
          <w:sz w:val="22"/>
          <w:szCs w:val="22"/>
        </w:rPr>
        <w:t xml:space="preserve"> with the subject-line “Comments of [author] on the draft Amendments to Recommendation 25”, </w:t>
      </w:r>
      <w:r w:rsidRPr="00A4159C">
        <w:rPr>
          <w:rFonts w:ascii="Calibri" w:hAnsi="Calibri" w:cs="Calibri"/>
          <w:b/>
          <w:bCs/>
          <w:color w:val="333333"/>
          <w:sz w:val="22"/>
          <w:szCs w:val="22"/>
        </w:rPr>
        <w:t>by 6 December 2022 (18h00 CEST).</w:t>
      </w:r>
      <w:r>
        <w:rPr>
          <w:rFonts w:ascii="Calibri" w:hAnsi="Calibri" w:cs="Calibri"/>
          <w:color w:val="333333"/>
          <w:sz w:val="22"/>
          <w:szCs w:val="22"/>
        </w:rPr>
        <w:t> </w:t>
      </w:r>
    </w:p>
    <w:p w14:paraId="429964DF" w14:textId="77777777" w:rsidR="00A043FB" w:rsidRDefault="00A043FB" w:rsidP="00A043FB">
      <w:pPr>
        <w:pStyle w:val="NormalWeb"/>
        <w:shd w:val="clear" w:color="auto" w:fill="FFFFFF"/>
        <w:spacing w:before="0" w:beforeAutospacing="0" w:after="150" w:afterAutospacing="0"/>
        <w:jc w:val="both"/>
        <w:rPr>
          <w:rFonts w:ascii="Calibri" w:hAnsi="Calibri" w:cs="Calibri"/>
          <w:color w:val="333333"/>
          <w:sz w:val="22"/>
          <w:szCs w:val="22"/>
        </w:rPr>
      </w:pPr>
      <w:r>
        <w:rPr>
          <w:rFonts w:ascii="Calibri" w:hAnsi="Calibri" w:cs="Calibri"/>
          <w:color w:val="333333"/>
          <w:sz w:val="22"/>
          <w:szCs w:val="22"/>
        </w:rPr>
        <w:t xml:space="preserve">While submitting your response, please indicate the name of your organization, the nature of your business, and your contact details. We will use your contact information only for the purpose of this public consultation and for further engagement with you on this issue. </w:t>
      </w:r>
      <w:r w:rsidRPr="00A4159C">
        <w:rPr>
          <w:rFonts w:ascii="Calibri" w:hAnsi="Calibri" w:cs="Calibri"/>
          <w:color w:val="333333"/>
          <w:sz w:val="22"/>
          <w:szCs w:val="22"/>
        </w:rPr>
        <w:t xml:space="preserve">Your comments will also be shared with the FATF delegations in the course of further </w:t>
      </w:r>
      <w:r>
        <w:rPr>
          <w:rFonts w:ascii="Calibri" w:hAnsi="Calibri" w:cs="Calibri"/>
          <w:color w:val="333333"/>
          <w:sz w:val="22"/>
          <w:szCs w:val="22"/>
        </w:rPr>
        <w:t>consideration of the amendments</w:t>
      </w:r>
      <w:r w:rsidRPr="00A4159C">
        <w:rPr>
          <w:rFonts w:ascii="Calibri" w:hAnsi="Calibri" w:cs="Calibri"/>
          <w:color w:val="333333"/>
          <w:sz w:val="22"/>
          <w:szCs w:val="22"/>
        </w:rPr>
        <w:t xml:space="preserve">, unless you indicate otherwise. </w:t>
      </w:r>
      <w:r>
        <w:rPr>
          <w:rFonts w:ascii="Calibri" w:hAnsi="Calibri" w:cs="Calibri"/>
          <w:color w:val="333333"/>
          <w:sz w:val="22"/>
          <w:szCs w:val="22"/>
        </w:rPr>
        <w:t>The FATF will, however, not share this information with third parties without your consent.</w:t>
      </w:r>
    </w:p>
    <w:p w14:paraId="11BF96C2" w14:textId="77777777" w:rsidR="00A043FB" w:rsidRDefault="00A043FB" w:rsidP="00A043FB">
      <w:pPr>
        <w:pStyle w:val="NormalWeb"/>
        <w:shd w:val="clear" w:color="auto" w:fill="FFFFFF"/>
        <w:spacing w:before="0" w:beforeAutospacing="0" w:after="150" w:afterAutospacing="0"/>
        <w:jc w:val="both"/>
        <w:rPr>
          <w:rFonts w:ascii="Calibri" w:hAnsi="Calibri" w:cs="Calibri"/>
          <w:color w:val="333333"/>
          <w:sz w:val="22"/>
          <w:szCs w:val="22"/>
        </w:rPr>
      </w:pPr>
      <w:r>
        <w:rPr>
          <w:rFonts w:ascii="Calibri" w:hAnsi="Calibri" w:cs="Calibri"/>
          <w:color w:val="333333"/>
          <w:sz w:val="22"/>
          <w:szCs w:val="22"/>
        </w:rPr>
        <w:t xml:space="preserve">At this stage, the FATF has not approved any draft amendments to R.25/INR.25. The FATF will consider the submissions received and proposals for revisions at its February 2023 meetings. </w:t>
      </w:r>
    </w:p>
    <w:p w14:paraId="7E07387C" w14:textId="77777777" w:rsidR="00A043FB" w:rsidRPr="00A4159C" w:rsidRDefault="00A043FB" w:rsidP="00A043FB">
      <w:pPr>
        <w:pStyle w:val="NormalWeb"/>
        <w:shd w:val="clear" w:color="auto" w:fill="FFFFFF"/>
        <w:spacing w:before="0" w:beforeAutospacing="0" w:after="150" w:afterAutospacing="0"/>
        <w:jc w:val="both"/>
        <w:rPr>
          <w:rFonts w:ascii="Calibri" w:hAnsi="Calibri" w:cs="Calibri"/>
          <w:color w:val="333333"/>
          <w:sz w:val="22"/>
          <w:szCs w:val="22"/>
        </w:rPr>
      </w:pPr>
      <w:r w:rsidRPr="00A4159C">
        <w:rPr>
          <w:rFonts w:ascii="Calibri" w:hAnsi="Calibri" w:cs="Calibri"/>
          <w:color w:val="333333"/>
          <w:sz w:val="22"/>
          <w:szCs w:val="22"/>
        </w:rPr>
        <w:t>We thank you for your contribution and interest in FATF’s work.</w:t>
      </w:r>
    </w:p>
    <w:p w14:paraId="70B7A989" w14:textId="72EA5E9C" w:rsidR="00512C84" w:rsidRPr="00512C84" w:rsidRDefault="00512C84" w:rsidP="00C61766">
      <w:pPr>
        <w:keepNext/>
        <w:widowControl w:val="0"/>
        <w:tabs>
          <w:tab w:val="left" w:pos="850"/>
          <w:tab w:val="left" w:pos="1191"/>
          <w:tab w:val="left" w:pos="1531"/>
        </w:tabs>
        <w:spacing w:before="1200" w:after="720" w:line="240" w:lineRule="auto"/>
        <w:jc w:val="center"/>
        <w:outlineLvl w:val="6"/>
        <w:rPr>
          <w:rFonts w:ascii="Times New Roman" w:eastAsia="MS Mincho" w:hAnsi="Times New Roman" w:cs="Times New Roman"/>
          <w:b/>
          <w:bCs/>
          <w:color w:val="4E81BD"/>
          <w:sz w:val="28"/>
        </w:rPr>
      </w:pPr>
      <w:r w:rsidRPr="00512C84">
        <w:rPr>
          <w:rFonts w:ascii="Times New Roman" w:eastAsia="MS Mincho" w:hAnsi="Times New Roman" w:cs="Times New Roman"/>
          <w:b/>
          <w:bCs/>
          <w:color w:val="4E81BD"/>
          <w:sz w:val="28"/>
        </w:rPr>
        <w:lastRenderedPageBreak/>
        <w:t>Full Draft Amendment Text of R.25 and INR.25</w:t>
      </w:r>
    </w:p>
    <w:p w14:paraId="50EFDD29" w14:textId="77777777" w:rsidR="00512C84" w:rsidRPr="00512C84" w:rsidRDefault="00512C84" w:rsidP="00512C84">
      <w:pPr>
        <w:spacing w:before="120" w:after="120" w:line="240" w:lineRule="auto"/>
        <w:ind w:leftChars="295" w:left="649" w:right="680"/>
        <w:jc w:val="both"/>
        <w:rPr>
          <w:rFonts w:ascii="Times New Roman" w:eastAsia="SimSun" w:hAnsi="Times New Roman" w:cs="Times New Roman"/>
          <w:b/>
          <w:i/>
        </w:rPr>
      </w:pPr>
      <w:r w:rsidRPr="00512C84">
        <w:rPr>
          <w:rFonts w:ascii="Times New Roman" w:eastAsia="SimSun" w:hAnsi="Times New Roman" w:cs="Times New Roman"/>
          <w:b/>
          <w:i/>
        </w:rPr>
        <w:t xml:space="preserve">Note on formatting: </w:t>
      </w:r>
    </w:p>
    <w:p w14:paraId="1D04596B" w14:textId="3A8A4A40" w:rsidR="00512C84" w:rsidRPr="00512C84" w:rsidRDefault="00512C84" w:rsidP="00512C84">
      <w:pPr>
        <w:spacing w:before="120" w:after="120" w:line="240" w:lineRule="auto"/>
        <w:ind w:left="680" w:right="680"/>
        <w:jc w:val="both"/>
        <w:rPr>
          <w:rFonts w:ascii="Times New Roman" w:eastAsia="SimSun" w:hAnsi="Times New Roman" w:cs="Times New Roman"/>
        </w:rPr>
      </w:pPr>
      <w:r w:rsidRPr="00512C84">
        <w:rPr>
          <w:rFonts w:ascii="Times New Roman" w:eastAsia="SimSun" w:hAnsi="Times New Roman" w:cs="Times New Roman"/>
        </w:rPr>
        <w:t xml:space="preserve">The current text of the Recommendation and Interpretive Note are shown in normal black text. All proposed amendments are coloured in </w:t>
      </w:r>
      <w:r w:rsidRPr="00512C84">
        <w:rPr>
          <w:rFonts w:ascii="Times New Roman" w:eastAsia="SimSun" w:hAnsi="Times New Roman" w:cs="Times New Roman"/>
          <w:color w:val="FF0000"/>
        </w:rPr>
        <w:t>red</w:t>
      </w:r>
      <w:r w:rsidRPr="00512C84">
        <w:rPr>
          <w:rFonts w:ascii="Times New Roman" w:eastAsia="SimSun" w:hAnsi="Times New Roman" w:cs="Times New Roman"/>
        </w:rPr>
        <w:t xml:space="preserve">, with </w:t>
      </w:r>
      <w:r w:rsidRPr="00512C84">
        <w:rPr>
          <w:rFonts w:ascii="Times New Roman" w:eastAsia="SimSun" w:hAnsi="Times New Roman" w:cs="Times New Roman"/>
          <w:color w:val="FF0000"/>
          <w:u w:val="single"/>
        </w:rPr>
        <w:t>additions underlined</w:t>
      </w:r>
      <w:r w:rsidRPr="00512C84">
        <w:rPr>
          <w:rFonts w:ascii="Times New Roman" w:eastAsia="SimSun" w:hAnsi="Times New Roman" w:cs="Times New Roman"/>
        </w:rPr>
        <w:t xml:space="preserve"> and </w:t>
      </w:r>
      <w:r w:rsidRPr="00512C84">
        <w:rPr>
          <w:rFonts w:ascii="Times New Roman" w:eastAsia="SimSun" w:hAnsi="Times New Roman" w:cs="Times New Roman"/>
          <w:strike/>
          <w:color w:val="FF0000"/>
        </w:rPr>
        <w:t>deletions struck-out</w:t>
      </w:r>
      <w:r w:rsidRPr="00512C84">
        <w:rPr>
          <w:rFonts w:ascii="Times New Roman" w:eastAsia="SimSun" w:hAnsi="Times New Roman" w:cs="Times New Roman"/>
          <w:color w:val="000000"/>
        </w:rPr>
        <w:t>.</w:t>
      </w:r>
    </w:p>
    <w:p w14:paraId="4AE72A73" w14:textId="77777777" w:rsidR="00512C84" w:rsidRPr="00512C84" w:rsidRDefault="00512C84" w:rsidP="00512C84">
      <w:pPr>
        <w:keepNext/>
        <w:tabs>
          <w:tab w:val="left" w:pos="850"/>
          <w:tab w:val="left" w:pos="1191"/>
          <w:tab w:val="left" w:pos="1531"/>
        </w:tabs>
        <w:spacing w:before="240" w:after="240" w:line="240" w:lineRule="auto"/>
        <w:ind w:right="680"/>
        <w:outlineLvl w:val="1"/>
        <w:rPr>
          <w:rFonts w:ascii="Times New Roman" w:eastAsia="Times New Roman" w:hAnsi="Times New Roman" w:cs="Times New Roman"/>
          <w:b/>
          <w:color w:val="4E81BD"/>
        </w:rPr>
      </w:pPr>
      <w:r w:rsidRPr="00512C84">
        <w:rPr>
          <w:rFonts w:ascii="Times New Roman" w:eastAsia="Times New Roman" w:hAnsi="Times New Roman" w:cs="Times New Roman"/>
          <w:b/>
          <w:color w:val="4E81BD"/>
        </w:rPr>
        <w:t>Recommendation 25. Transparency and beneficial ownership of</w:t>
      </w:r>
      <w:r w:rsidRPr="00512C84">
        <w:rPr>
          <w:rFonts w:ascii="Times New Roman" w:eastAsia="Times New Roman" w:hAnsi="Times New Roman" w:cs="Times New Roman"/>
          <w:b/>
          <w:color w:val="FF0000"/>
        </w:rPr>
        <w:t xml:space="preserve"> </w:t>
      </w:r>
      <w:r w:rsidRPr="00512C84">
        <w:rPr>
          <w:rFonts w:ascii="Times New Roman" w:eastAsia="Times New Roman" w:hAnsi="Times New Roman" w:cs="Times New Roman"/>
          <w:b/>
          <w:color w:val="4E81BD"/>
        </w:rPr>
        <w:t xml:space="preserve">legal arrangements </w:t>
      </w:r>
    </w:p>
    <w:p w14:paraId="215449AF" w14:textId="77777777" w:rsidR="00512C84" w:rsidRPr="00512C84" w:rsidRDefault="00512C84" w:rsidP="00512C84">
      <w:pPr>
        <w:spacing w:before="120" w:after="120" w:line="240" w:lineRule="auto"/>
        <w:ind w:left="680" w:right="680"/>
        <w:jc w:val="both"/>
        <w:rPr>
          <w:rFonts w:ascii="Times New Roman" w:eastAsia="SimSun" w:hAnsi="Times New Roman" w:cs="Times New Roman"/>
          <w:color w:val="00B050"/>
        </w:rPr>
      </w:pPr>
      <w:r w:rsidRPr="00512C84">
        <w:rPr>
          <w:rFonts w:ascii="Times New Roman" w:eastAsia="SimSun" w:hAnsi="Times New Roman" w:cs="Times New Roman"/>
        </w:rPr>
        <w:t xml:space="preserve">Countries should </w:t>
      </w:r>
      <w:r w:rsidRPr="00512C84">
        <w:rPr>
          <w:rFonts w:ascii="Times New Roman" w:eastAsia="SimSun" w:hAnsi="Times New Roman" w:cs="Times New Roman"/>
          <w:color w:val="FF0000"/>
          <w:u w:val="single"/>
        </w:rPr>
        <w:t xml:space="preserve">assess the risks of </w:t>
      </w:r>
      <w:r w:rsidRPr="00512C84">
        <w:rPr>
          <w:rFonts w:ascii="Times New Roman" w:eastAsia="SimSun" w:hAnsi="Times New Roman" w:cs="Times New Roman"/>
          <w:strike/>
          <w:color w:val="FF0000"/>
        </w:rPr>
        <w:t>take measures to prevent</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the misuse of legal arrangements for money laundering or terrorist financing</w:t>
      </w:r>
      <w:r w:rsidRPr="00512C84">
        <w:rPr>
          <w:rFonts w:ascii="Times New Roman" w:eastAsia="SimSun" w:hAnsi="Times New Roman" w:cs="Times New Roman"/>
          <w:color w:val="FF0000"/>
          <w:u w:val="single"/>
        </w:rPr>
        <w:t xml:space="preserve"> and take measures to prevent their misuse</w:t>
      </w:r>
      <w:r w:rsidRPr="00512C84">
        <w:rPr>
          <w:rFonts w:ascii="Times New Roman" w:eastAsia="SimSun" w:hAnsi="Times New Roman" w:cs="Times New Roman"/>
        </w:rPr>
        <w:t xml:space="preserve">. In particular, countries should ensure that there is adequate, accurate and </w:t>
      </w:r>
      <w:r w:rsidRPr="00512C84">
        <w:rPr>
          <w:rFonts w:ascii="Times New Roman" w:eastAsia="SimSun" w:hAnsi="Times New Roman" w:cs="Times New Roman"/>
          <w:color w:val="FF0000"/>
          <w:u w:val="single"/>
        </w:rPr>
        <w:t xml:space="preserve">up-to-date </w:t>
      </w:r>
      <w:r w:rsidRPr="00512C84">
        <w:rPr>
          <w:rFonts w:ascii="Times New Roman" w:eastAsia="SimSun" w:hAnsi="Times New Roman" w:cs="Times New Roman"/>
          <w:strike/>
          <w:color w:val="FF0000"/>
        </w:rPr>
        <w:t>timely</w:t>
      </w:r>
      <w:r w:rsidRPr="00512C84">
        <w:rPr>
          <w:rFonts w:ascii="Times New Roman" w:eastAsia="SimSun" w:hAnsi="Times New Roman" w:cs="Times New Roman"/>
        </w:rPr>
        <w:t xml:space="preserve"> information on express trusts</w:t>
      </w:r>
      <w:r w:rsidRPr="00512C84">
        <w:rPr>
          <w:rFonts w:ascii="Times New Roman" w:eastAsia="SimSun" w:hAnsi="Times New Roman" w:cs="Times New Roman"/>
          <w:color w:val="FF0000"/>
          <w:u w:val="single"/>
        </w:rPr>
        <w:t xml:space="preserve"> and other similar legal arrangements</w:t>
      </w:r>
      <w:r w:rsidRPr="00512C84">
        <w:rPr>
          <w:rFonts w:ascii="Times New Roman" w:eastAsia="SimSun" w:hAnsi="Times New Roman" w:cs="Times New Roman"/>
        </w:rPr>
        <w:t>, including information on the settlor</w:t>
      </w:r>
      <w:r w:rsidRPr="00512C84">
        <w:rPr>
          <w:rFonts w:ascii="Times New Roman" w:eastAsia="SimSun" w:hAnsi="Times New Roman" w:cs="Times New Roman"/>
          <w:color w:val="FF0000"/>
          <w:u w:val="single"/>
        </w:rPr>
        <w:t>(s),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trustee</w:t>
      </w:r>
      <w:r w:rsidRPr="00512C84">
        <w:rPr>
          <w:rFonts w:ascii="Times New Roman" w:eastAsia="SimSun" w:hAnsi="Times New Roman" w:cs="Times New Roman"/>
          <w:color w:val="FF0000"/>
          <w:u w:val="single"/>
        </w:rPr>
        <w:t>(s)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and beneficiar</w:t>
      </w:r>
      <w:r w:rsidRPr="00512C84">
        <w:rPr>
          <w:rFonts w:ascii="Times New Roman" w:eastAsia="SimSun" w:hAnsi="Times New Roman" w:cs="Times New Roman"/>
          <w:color w:val="FF0000"/>
          <w:u w:val="single"/>
        </w:rPr>
        <w:t>y(</w:t>
      </w:r>
      <w:r w:rsidRPr="00512C84">
        <w:rPr>
          <w:rFonts w:ascii="Times New Roman" w:eastAsia="SimSun" w:hAnsi="Times New Roman" w:cs="Times New Roman"/>
        </w:rPr>
        <w:t>ies</w:t>
      </w:r>
      <w:r w:rsidRPr="00512C84">
        <w:rPr>
          <w:rFonts w:ascii="Times New Roman" w:eastAsia="SimSun" w:hAnsi="Times New Roman" w:cs="Times New Roman"/>
          <w:color w:val="FF0000"/>
          <w:u w:val="single"/>
        </w:rPr>
        <w:t>)</w:t>
      </w:r>
      <w:r w:rsidRPr="00512C84">
        <w:rPr>
          <w:rFonts w:ascii="Times New Roman" w:eastAsia="SimSun" w:hAnsi="Times New Roman" w:cs="Times New Roman"/>
        </w:rPr>
        <w:t xml:space="preserve">, that can be obtained or accessed </w:t>
      </w:r>
      <w:r w:rsidRPr="00512C84">
        <w:rPr>
          <w:rFonts w:ascii="Times New Roman" w:eastAsia="SimSun" w:hAnsi="Times New Roman" w:cs="Times New Roman"/>
          <w:strike/>
          <w:color w:val="FF0000"/>
        </w:rPr>
        <w:t xml:space="preserve">in a timely fashion </w:t>
      </w:r>
      <w:r w:rsidRPr="00512C84">
        <w:rPr>
          <w:rFonts w:ascii="Times New Roman" w:eastAsia="SimSun" w:hAnsi="Times New Roman" w:cs="Times New Roman"/>
          <w:color w:val="FF0000"/>
          <w:u w:val="single"/>
        </w:rPr>
        <w:t>efficiently and in a timely manner</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by competent authorities. Countries should consider </w:t>
      </w:r>
      <w:r w:rsidRPr="00512C84">
        <w:rPr>
          <w:rFonts w:ascii="Times New Roman" w:eastAsia="SimSun" w:hAnsi="Times New Roman" w:cs="Times New Roman"/>
          <w:strike/>
          <w:color w:val="FF0000"/>
        </w:rPr>
        <w:t xml:space="preserve">measures to </w:t>
      </w:r>
      <w:r w:rsidRPr="00512C84">
        <w:rPr>
          <w:rFonts w:ascii="Times New Roman" w:eastAsia="SimSun" w:hAnsi="Times New Roman" w:cs="Times New Roman"/>
        </w:rPr>
        <w:t>facilitat</w:t>
      </w:r>
      <w:r w:rsidRPr="00512C84">
        <w:rPr>
          <w:rFonts w:ascii="Times New Roman" w:eastAsia="SimSun" w:hAnsi="Times New Roman" w:cs="Times New Roman"/>
          <w:strike/>
          <w:color w:val="FF0000"/>
        </w:rPr>
        <w:t>e</w:t>
      </w:r>
      <w:r w:rsidRPr="00512C84">
        <w:rPr>
          <w:rFonts w:ascii="Times New Roman" w:eastAsia="SimSun" w:hAnsi="Times New Roman" w:cs="Times New Roman"/>
          <w:color w:val="FF0000"/>
          <w:u w:val="single"/>
        </w:rPr>
        <w:t>ing</w:t>
      </w:r>
      <w:r w:rsidRPr="00512C84">
        <w:rPr>
          <w:rFonts w:ascii="Times New Roman" w:eastAsia="SimSun" w:hAnsi="Times New Roman" w:cs="Times New Roman"/>
        </w:rPr>
        <w:t xml:space="preserve"> access to beneficial ownership and control information by financial institutions and DNFBPs undertaking the requirements set out in Recommendations 10 and 22.</w:t>
      </w:r>
    </w:p>
    <w:p w14:paraId="399B7220" w14:textId="77777777" w:rsidR="00512C84" w:rsidRPr="00512C84" w:rsidRDefault="00512C84" w:rsidP="00512C84">
      <w:pPr>
        <w:keepNext/>
        <w:tabs>
          <w:tab w:val="left" w:pos="850"/>
          <w:tab w:val="left" w:pos="1191"/>
          <w:tab w:val="left" w:pos="1531"/>
        </w:tabs>
        <w:spacing w:before="240" w:after="240" w:line="240" w:lineRule="auto"/>
        <w:ind w:right="680"/>
        <w:outlineLvl w:val="1"/>
        <w:rPr>
          <w:rFonts w:ascii="Times New Roman" w:eastAsia="Times New Roman" w:hAnsi="Times New Roman" w:cs="Times New Roman"/>
          <w:b/>
          <w:color w:val="4E81BD"/>
        </w:rPr>
      </w:pPr>
      <w:r w:rsidRPr="00512C84">
        <w:rPr>
          <w:rFonts w:ascii="Times New Roman" w:eastAsia="Times New Roman" w:hAnsi="Times New Roman" w:cs="Times New Roman"/>
          <w:b/>
          <w:color w:val="4E81BD"/>
        </w:rPr>
        <w:t xml:space="preserve">Interpretive Note to Recommendation 25 (Transparency and Beneficial Ownership of Legal Arrangements) </w:t>
      </w:r>
    </w:p>
    <w:p w14:paraId="1B760E45"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1.      Countries should require trustees of any express trust </w:t>
      </w:r>
      <w:r w:rsidRPr="00512C84">
        <w:rPr>
          <w:rFonts w:ascii="Times New Roman" w:eastAsia="SimSun" w:hAnsi="Times New Roman" w:cs="Times New Roman"/>
          <w:strike/>
          <w:color w:val="FF0000"/>
        </w:rPr>
        <w:t>governed under their law</w:t>
      </w:r>
      <w:r w:rsidRPr="00512C84">
        <w:rPr>
          <w:rFonts w:ascii="Times New Roman" w:eastAsia="SimSun" w:hAnsi="Times New Roman" w:cs="Times New Roman"/>
          <w:color w:val="FF0000"/>
          <w:u w:val="single"/>
        </w:rPr>
        <w:t xml:space="preserve">, and persons holding an equivalent position in a similar legal arrangement, that are residents in their country or that administer any express trusts or similar legal arrangements in their country, </w:t>
      </w:r>
      <w:r w:rsidRPr="00512C84">
        <w:rPr>
          <w:rFonts w:ascii="Times New Roman" w:eastAsia="SimSun" w:hAnsi="Times New Roman" w:cs="Times New Roman"/>
        </w:rPr>
        <w:t xml:space="preserve">to obtain and hold adequate, accurate and </w:t>
      </w:r>
      <w:r w:rsidRPr="00512C84">
        <w:rPr>
          <w:rFonts w:ascii="Times New Roman" w:eastAsia="SimSun" w:hAnsi="Times New Roman" w:cs="Times New Roman"/>
          <w:strike/>
          <w:color w:val="FF0000"/>
        </w:rPr>
        <w:t xml:space="preserve">current </w:t>
      </w:r>
      <w:r w:rsidRPr="00512C84">
        <w:rPr>
          <w:rFonts w:ascii="Times New Roman" w:eastAsia="SimSun" w:hAnsi="Times New Roman" w:cs="Times New Roman"/>
          <w:color w:val="FF0000"/>
          <w:u w:val="single"/>
        </w:rPr>
        <w:t xml:space="preserve">up-to-date </w:t>
      </w:r>
      <w:r w:rsidRPr="00512C84">
        <w:rPr>
          <w:rFonts w:ascii="Times New Roman" w:eastAsia="SimSun" w:hAnsi="Times New Roman" w:cs="Times New Roman"/>
        </w:rPr>
        <w:t>beneficial ownership information</w:t>
      </w:r>
      <w:r w:rsidRPr="00512C84">
        <w:rPr>
          <w:rFonts w:ascii="Times New Roman" w:eastAsia="SimSun" w:hAnsi="Times New Roman" w:cs="Times New Roman"/>
          <w:color w:val="FF0000"/>
          <w:u w:val="single"/>
          <w:vertAlign w:val="superscript"/>
        </w:rPr>
        <w:footnoteReference w:id="1"/>
      </w:r>
      <w:r w:rsidRPr="00512C84">
        <w:rPr>
          <w:rFonts w:ascii="Times New Roman" w:eastAsia="SimSun" w:hAnsi="Times New Roman" w:cs="Times New Roman"/>
        </w:rPr>
        <w:t xml:space="preserve"> regarding the trust</w:t>
      </w:r>
      <w:r w:rsidRPr="00512C84">
        <w:rPr>
          <w:rFonts w:ascii="Times New Roman" w:eastAsia="SimSun" w:hAnsi="Times New Roman" w:cs="Times New Roman"/>
          <w:color w:val="FF0000"/>
          <w:u w:val="single"/>
        </w:rPr>
        <w:t xml:space="preserve"> or other similar legal arrangements</w:t>
      </w:r>
      <w:r w:rsidRPr="00512C84">
        <w:rPr>
          <w:rFonts w:ascii="Times New Roman" w:eastAsia="SimSun" w:hAnsi="Times New Roman" w:cs="Times New Roman"/>
        </w:rPr>
        <w:t>. This should include information on the identity of</w:t>
      </w:r>
      <w:r w:rsidRPr="00512C84">
        <w:rPr>
          <w:rFonts w:ascii="Times New Roman" w:eastAsia="SimSun" w:hAnsi="Times New Roman" w:cs="Times New Roman"/>
          <w:color w:val="FF0000"/>
          <w:u w:val="single"/>
        </w:rPr>
        <w:t>: (i)</w:t>
      </w:r>
      <w:r w:rsidRPr="00512C84">
        <w:rPr>
          <w:rFonts w:ascii="Times New Roman" w:eastAsia="SimSun" w:hAnsi="Times New Roman" w:cs="Times New Roman"/>
        </w:rPr>
        <w:t xml:space="preserve"> the settlor</w:t>
      </w:r>
      <w:r w:rsidRPr="00512C84">
        <w:rPr>
          <w:rFonts w:ascii="Times New Roman" w:eastAsia="SimSun" w:hAnsi="Times New Roman" w:cs="Times New Roman"/>
          <w:color w:val="FF0000"/>
          <w:u w:val="single"/>
        </w:rPr>
        <w:t>(s); (ii)</w:t>
      </w:r>
      <w:r w:rsidRPr="00512C84">
        <w:rPr>
          <w:rFonts w:ascii="Times New Roman" w:eastAsia="SimSun" w:hAnsi="Times New Roman" w:cs="Times New Roman"/>
          <w:strike/>
          <w:color w:val="FF0000"/>
        </w:rPr>
        <w:t>,</w:t>
      </w:r>
      <w:r w:rsidRPr="00512C84">
        <w:rPr>
          <w:rFonts w:ascii="Times New Roman" w:eastAsia="SimSun" w:hAnsi="Times New Roman" w:cs="Times New Roman"/>
        </w:rPr>
        <w:t xml:space="preserve"> the trustee(s)</w:t>
      </w:r>
      <w:r w:rsidRPr="00512C84">
        <w:rPr>
          <w:rFonts w:ascii="Times New Roman" w:eastAsia="SimSun" w:hAnsi="Times New Roman" w:cs="Times New Roman"/>
          <w:color w:val="FF0000"/>
          <w:u w:val="single"/>
        </w:rPr>
        <w:t>; (iii)</w:t>
      </w:r>
      <w:r w:rsidRPr="00512C84">
        <w:rPr>
          <w:rFonts w:ascii="Times New Roman" w:eastAsia="SimSun" w:hAnsi="Times New Roman" w:cs="Times New Roman"/>
          <w:strike/>
          <w:color w:val="FF0000"/>
        </w:rPr>
        <w:t>,</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the protector</w:t>
      </w:r>
      <w:r w:rsidRPr="00512C84">
        <w:rPr>
          <w:rFonts w:ascii="Times New Roman" w:eastAsia="SimSun" w:hAnsi="Times New Roman" w:cs="Times New Roman"/>
          <w:color w:val="FF0000"/>
          <w:u w:val="single"/>
        </w:rPr>
        <w:t>(s)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(if any)</w:t>
      </w:r>
      <w:r w:rsidRPr="00512C84">
        <w:rPr>
          <w:rFonts w:ascii="Times New Roman" w:eastAsia="SimSun" w:hAnsi="Times New Roman" w:cs="Times New Roman"/>
          <w:color w:val="FF0000"/>
          <w:u w:val="single"/>
        </w:rPr>
        <w:t>; (iv)</w:t>
      </w:r>
      <w:r w:rsidRPr="00512C84">
        <w:rPr>
          <w:rFonts w:ascii="Times New Roman" w:eastAsia="SimSun" w:hAnsi="Times New Roman" w:cs="Times New Roman"/>
          <w:strike/>
          <w:color w:val="FF0000"/>
        </w:rPr>
        <w:t>, the</w:t>
      </w:r>
      <w:r w:rsidRPr="00512C84">
        <w:rPr>
          <w:rFonts w:ascii="Times New Roman" w:eastAsia="SimSun" w:hAnsi="Times New Roman" w:cs="Times New Roman"/>
          <w:color w:val="FF0000"/>
          <w:u w:val="single"/>
        </w:rPr>
        <w:t xml:space="preserve"> each</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beneficiar</w:t>
      </w:r>
      <w:r w:rsidRPr="00512C84">
        <w:rPr>
          <w:rFonts w:ascii="Times New Roman" w:eastAsia="SimSun" w:hAnsi="Times New Roman" w:cs="Times New Roman"/>
          <w:color w:val="FF0000"/>
          <w:u w:val="single"/>
        </w:rPr>
        <w:t>y</w:t>
      </w:r>
      <w:r w:rsidRPr="00512C84">
        <w:rPr>
          <w:rFonts w:ascii="Times New Roman" w:eastAsia="SimSun" w:hAnsi="Times New Roman" w:cs="Times New Roman"/>
          <w:strike/>
          <w:color w:val="FF0000"/>
        </w:rPr>
        <w:t>ies</w:t>
      </w:r>
      <w:r w:rsidRPr="00512C84">
        <w:rPr>
          <w:rFonts w:ascii="Times New Roman" w:eastAsia="SimSun" w:hAnsi="Times New Roman" w:cs="Times New Roman"/>
        </w:rPr>
        <w:t xml:space="preserve"> or</w:t>
      </w:r>
      <w:r w:rsidRPr="00512C84">
        <w:rPr>
          <w:rFonts w:ascii="Times New Roman" w:eastAsia="SimSun" w:hAnsi="Times New Roman" w:cs="Times New Roman"/>
          <w:color w:val="FF0000"/>
          <w:u w:val="single"/>
        </w:rPr>
        <w:t xml:space="preserve">, where applicable, the </w:t>
      </w:r>
      <w:r w:rsidRPr="00512C84">
        <w:rPr>
          <w:rFonts w:ascii="Times New Roman" w:eastAsia="SimSun" w:hAnsi="Times New Roman" w:cs="Times New Roman"/>
        </w:rPr>
        <w:t>class of beneficiaries</w:t>
      </w:r>
      <w:r w:rsidRPr="00512C84">
        <w:rPr>
          <w:rFonts w:ascii="Times New Roman" w:eastAsia="SimSun" w:hAnsi="Times New Roman" w:cs="Times New Roman"/>
          <w:color w:val="FF0000"/>
          <w:u w:val="single"/>
          <w:vertAlign w:val="superscript"/>
        </w:rPr>
        <w:footnoteReference w:id="2"/>
      </w:r>
      <w:r w:rsidRPr="00512C84">
        <w:rPr>
          <w:rFonts w:ascii="Times New Roman" w:eastAsia="SimSun" w:hAnsi="Times New Roman" w:cs="Times New Roman"/>
        </w:rPr>
        <w:t xml:space="preserve"> </w:t>
      </w:r>
      <w:r w:rsidRPr="00512C84">
        <w:rPr>
          <w:rFonts w:ascii="Times New Roman" w:eastAsia="SimSun" w:hAnsi="Times New Roman" w:cs="Times New Roman"/>
          <w:color w:val="FF0000"/>
          <w:u w:val="single"/>
        </w:rPr>
        <w:t>or objects of a power;</w:t>
      </w:r>
      <w:r w:rsidRPr="00512C84">
        <w:rPr>
          <w:rFonts w:ascii="Times New Roman" w:eastAsia="SimSun" w:hAnsi="Times New Roman" w:cs="Times New Roman"/>
        </w:rPr>
        <w:t xml:space="preserve"> and </w:t>
      </w:r>
      <w:r w:rsidRPr="00512C84">
        <w:rPr>
          <w:rFonts w:ascii="Times New Roman" w:eastAsia="SimSun" w:hAnsi="Times New Roman" w:cs="Times New Roman"/>
          <w:color w:val="FF0000"/>
          <w:u w:val="single"/>
        </w:rPr>
        <w:t xml:space="preserve">(v) </w:t>
      </w:r>
      <w:r w:rsidRPr="00512C84">
        <w:rPr>
          <w:rFonts w:ascii="Times New Roman" w:eastAsia="SimSun" w:hAnsi="Times New Roman" w:cs="Times New Roman"/>
          <w:strike/>
          <w:color w:val="FF0000"/>
        </w:rPr>
        <w:t>,</w:t>
      </w:r>
      <w:r w:rsidRPr="00512C84">
        <w:rPr>
          <w:rFonts w:ascii="Times New Roman" w:eastAsia="SimSun" w:hAnsi="Times New Roman" w:cs="Times New Roman"/>
        </w:rPr>
        <w:t xml:space="preserve"> any  other natural person</w:t>
      </w:r>
      <w:r w:rsidRPr="00512C84">
        <w:rPr>
          <w:rFonts w:ascii="Times New Roman" w:eastAsia="SimSun" w:hAnsi="Times New Roman" w:cs="Times New Roman"/>
          <w:color w:val="FF0000"/>
          <w:u w:val="single"/>
        </w:rPr>
        <w:t>(s)</w:t>
      </w:r>
      <w:r w:rsidRPr="00512C84">
        <w:rPr>
          <w:rFonts w:ascii="Times New Roman" w:eastAsia="SimSun" w:hAnsi="Times New Roman" w:cs="Times New Roman"/>
        </w:rPr>
        <w:t xml:space="preserve"> exercising ultimate effective control over the trust.</w:t>
      </w:r>
      <w:r w:rsidRPr="00512C84">
        <w:rPr>
          <w:rFonts w:ascii="Times New Roman" w:eastAsia="SimSun" w:hAnsi="Times New Roman" w:cs="Times New Roman"/>
          <w:u w:val="single"/>
        </w:rPr>
        <w:t xml:space="preserve"> </w:t>
      </w:r>
      <w:r w:rsidRPr="00512C84">
        <w:rPr>
          <w:rFonts w:ascii="Times New Roman" w:eastAsia="SimSun" w:hAnsi="Times New Roman" w:cs="Times New Roman"/>
          <w:color w:val="FF0000"/>
          <w:u w:val="single"/>
        </w:rPr>
        <w:t>For a similar legal arrangement, this should include persons holding equivalent positions. Where the parties to the trusts or other similar legal arrangements are legal persons or arrangements, countries should require trustees and persons holding an equivalent position in a similar legal arrangement to also obtain and hold adequate, accurate, and up-to-date basic and beneficial ownership information of the legal persons or arrangements.</w:t>
      </w:r>
      <w:r w:rsidRPr="00512C84">
        <w:rPr>
          <w:rFonts w:ascii="Times New Roman" w:eastAsia="SimSun" w:hAnsi="Times New Roman" w:cs="Times New Roman"/>
        </w:rPr>
        <w:t xml:space="preserve"> Countries should also require trustees </w:t>
      </w:r>
      <w:r w:rsidRPr="00512C84">
        <w:rPr>
          <w:rFonts w:ascii="Times New Roman" w:eastAsia="SimSun" w:hAnsi="Times New Roman" w:cs="Times New Roman"/>
          <w:color w:val="FF0000"/>
          <w:u w:val="single"/>
        </w:rPr>
        <w:t>and persons holding an equivalent position in a similar legal arrangement that are residents in their country or of trusts administered in their country</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strike/>
          <w:color w:val="FF0000"/>
        </w:rPr>
        <w:t>of any trust governed under their law</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to hold basic information on other regulated agents of, and service providers to, the trust</w:t>
      </w:r>
      <w:r w:rsidRPr="00512C84">
        <w:rPr>
          <w:rFonts w:ascii="Times New Roman" w:eastAsia="SimSun" w:hAnsi="Times New Roman" w:cs="Times New Roman"/>
          <w:color w:val="FF0000"/>
          <w:u w:val="single"/>
        </w:rPr>
        <w:t xml:space="preserve"> and similar legal arrangements</w:t>
      </w:r>
      <w:r w:rsidRPr="00512C84">
        <w:rPr>
          <w:rFonts w:ascii="Times New Roman" w:eastAsia="SimSun" w:hAnsi="Times New Roman" w:cs="Times New Roman"/>
        </w:rPr>
        <w:t>, including investment advisors or managers, accountants, and tax advisors.</w:t>
      </w:r>
    </w:p>
    <w:p w14:paraId="1B0E1BF9" w14:textId="77777777" w:rsidR="00512C84" w:rsidRPr="00512C84" w:rsidRDefault="00512C84" w:rsidP="00512C84">
      <w:pPr>
        <w:tabs>
          <w:tab w:val="left" w:pos="709"/>
        </w:tabs>
        <w:spacing w:before="120" w:after="120" w:line="240" w:lineRule="auto"/>
        <w:ind w:left="720" w:right="68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1*. Countries with express trusts and other similar legal arrangements governed under their law should have mechanisms that:</w:t>
      </w:r>
    </w:p>
    <w:p w14:paraId="0753EE10" w14:textId="77777777" w:rsidR="00512C84" w:rsidRPr="00512C84" w:rsidRDefault="00512C84" w:rsidP="00512C84">
      <w:pPr>
        <w:tabs>
          <w:tab w:val="left" w:pos="709"/>
        </w:tabs>
        <w:spacing w:before="120" w:after="120" w:line="240" w:lineRule="auto"/>
        <w:ind w:left="1069" w:right="68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lastRenderedPageBreak/>
        <w:t>(a) identify the different types, forms and basic features of express trusts and/or other similar legal arrangements.</w:t>
      </w:r>
    </w:p>
    <w:p w14:paraId="39E07DAE" w14:textId="77777777" w:rsidR="00512C84" w:rsidRPr="00512C84" w:rsidRDefault="00512C84" w:rsidP="00512C84">
      <w:pPr>
        <w:ind w:left="1069" w:right="651"/>
        <w:contextualSpacing/>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(b) identify and describe the processes for: (i) the setting up of those legal arrangements; and (ii) the obtaining of basic</w:t>
      </w:r>
      <w:r w:rsidRPr="00512C84">
        <w:rPr>
          <w:rFonts w:ascii="Times New Roman" w:eastAsia="SimSun" w:hAnsi="Times New Roman" w:cs="Times New Roman"/>
          <w:color w:val="FF0000"/>
          <w:szCs w:val="18"/>
          <w:u w:val="single"/>
          <w:vertAlign w:val="superscript"/>
        </w:rPr>
        <w:footnoteReference w:id="3"/>
      </w:r>
      <w:r w:rsidRPr="00512C84">
        <w:rPr>
          <w:rFonts w:ascii="Times New Roman" w:eastAsia="SimSun" w:hAnsi="Times New Roman" w:cs="Times New Roman"/>
          <w:color w:val="FF0000"/>
          <w:szCs w:val="18"/>
          <w:u w:val="single"/>
        </w:rPr>
        <w:t xml:space="preserve"> and beneficial ownership information; </w:t>
      </w:r>
    </w:p>
    <w:p w14:paraId="744259F2" w14:textId="77777777" w:rsidR="00512C84" w:rsidRPr="00512C84" w:rsidRDefault="00512C84" w:rsidP="00512C84">
      <w:pPr>
        <w:ind w:left="1069"/>
        <w:contextualSpacing/>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(c) make the above information referred to in (a) and (b) publicly available.</w:t>
      </w:r>
    </w:p>
    <w:p w14:paraId="30817BAC" w14:textId="77777777" w:rsidR="00512C84" w:rsidRPr="00512C84" w:rsidRDefault="00512C84" w:rsidP="00512C84">
      <w:pPr>
        <w:tabs>
          <w:tab w:val="left" w:pos="709"/>
        </w:tabs>
        <w:spacing w:before="120" w:after="120" w:line="240" w:lineRule="auto"/>
        <w:ind w:left="1069" w:right="680" w:hanging="36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u w:val="single"/>
        </w:rPr>
        <w:t>1</w:t>
      </w:r>
      <w:r w:rsidRPr="00512C84">
        <w:rPr>
          <w:rFonts w:ascii="Times New Roman" w:eastAsia="SimSun" w:hAnsi="Times New Roman" w:cs="Times New Roman"/>
          <w:color w:val="FF0000"/>
          <w:szCs w:val="18"/>
          <w:u w:val="single"/>
        </w:rPr>
        <w:t>**.</w:t>
      </w:r>
      <w:r w:rsidRPr="00512C84">
        <w:rPr>
          <w:rFonts w:ascii="Times New Roman" w:eastAsia="SimSun" w:hAnsi="Times New Roman" w:cs="Times New Roman"/>
          <w:color w:val="FF0000"/>
          <w:u w:val="single"/>
        </w:rPr>
        <w:t xml:space="preserve"> Countries should </w:t>
      </w:r>
      <w:r w:rsidRPr="00512C84">
        <w:rPr>
          <w:rFonts w:ascii="Times New Roman" w:eastAsia="SimSun" w:hAnsi="Times New Roman" w:cs="Times New Roman"/>
          <w:color w:val="FF0000"/>
          <w:szCs w:val="18"/>
          <w:u w:val="single"/>
        </w:rPr>
        <w:t>assess the money laundering and terrorist financing risks associated with different types of trusts and other similar legal arrangements:</w:t>
      </w:r>
    </w:p>
    <w:p w14:paraId="7272388B" w14:textId="77777777" w:rsidR="00512C84" w:rsidRPr="00512C84" w:rsidRDefault="00512C84" w:rsidP="00512C84">
      <w:pPr>
        <w:tabs>
          <w:tab w:val="left" w:pos="709"/>
        </w:tabs>
        <w:spacing w:before="120" w:after="120" w:line="240" w:lineRule="auto"/>
        <w:ind w:left="1429" w:right="680" w:hanging="36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(a) governed under their law;</w:t>
      </w:r>
    </w:p>
    <w:p w14:paraId="22F01C24" w14:textId="77777777" w:rsidR="00512C84" w:rsidRPr="00512C84" w:rsidRDefault="00512C84" w:rsidP="00512C84">
      <w:pPr>
        <w:tabs>
          <w:tab w:val="left" w:pos="709"/>
        </w:tabs>
        <w:spacing w:before="120" w:after="120" w:line="240" w:lineRule="auto"/>
        <w:ind w:left="1429" w:right="680" w:hanging="36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(b) which are administered in their country or for which the trustee or equivalent resides in their country; and</w:t>
      </w:r>
    </w:p>
    <w:p w14:paraId="70745D6D" w14:textId="77777777" w:rsidR="00512C84" w:rsidRPr="00512C84" w:rsidRDefault="00512C84" w:rsidP="00512C84">
      <w:pPr>
        <w:tabs>
          <w:tab w:val="left" w:pos="709"/>
        </w:tabs>
        <w:spacing w:before="120" w:after="120" w:line="240" w:lineRule="auto"/>
        <w:ind w:left="1429" w:right="680" w:hanging="36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(c) types of foreign legal arrangements that have sufficient links</w:t>
      </w:r>
      <w:r w:rsidRPr="00512C84">
        <w:rPr>
          <w:rFonts w:ascii="Times New Roman" w:eastAsia="SimSun" w:hAnsi="Times New Roman" w:cs="Times New Roman"/>
          <w:color w:val="FF0000"/>
          <w:szCs w:val="18"/>
          <w:u w:val="single"/>
          <w:vertAlign w:val="superscript"/>
        </w:rPr>
        <w:footnoteReference w:id="4"/>
      </w:r>
      <w:r w:rsidRPr="00512C84">
        <w:rPr>
          <w:rFonts w:ascii="Times New Roman" w:eastAsia="SimSun" w:hAnsi="Times New Roman" w:cs="Times New Roman"/>
          <w:color w:val="FF0000"/>
          <w:szCs w:val="18"/>
          <w:u w:val="single"/>
        </w:rPr>
        <w:t xml:space="preserve"> with their country</w:t>
      </w:r>
    </w:p>
    <w:p w14:paraId="3B312252" w14:textId="77777777" w:rsidR="00512C84" w:rsidRPr="00512C84" w:rsidRDefault="00512C84" w:rsidP="00512C84">
      <w:pPr>
        <w:tabs>
          <w:tab w:val="left" w:pos="709"/>
        </w:tabs>
        <w:spacing w:before="120" w:after="120" w:line="240" w:lineRule="auto"/>
        <w:ind w:left="1069" w:right="680" w:hanging="360"/>
        <w:jc w:val="both"/>
        <w:rPr>
          <w:rFonts w:ascii="Times New Roman" w:eastAsia="SimSun" w:hAnsi="Times New Roman" w:cs="Times New Roman"/>
          <w:color w:val="FF0000"/>
          <w:szCs w:val="18"/>
          <w:u w:val="single"/>
        </w:rPr>
      </w:pPr>
      <w:r w:rsidRPr="00512C84">
        <w:rPr>
          <w:rFonts w:ascii="Times New Roman" w:eastAsia="SimSun" w:hAnsi="Times New Roman" w:cs="Times New Roman"/>
          <w:color w:val="FF0000"/>
          <w:szCs w:val="18"/>
          <w:u w:val="single"/>
        </w:rPr>
        <w:t xml:space="preserve"> and take appropriate steps to manage and mitigate the risks that they identify</w:t>
      </w:r>
      <w:r w:rsidRPr="00512C84">
        <w:rPr>
          <w:rFonts w:ascii="Times New Roman" w:eastAsia="SimSun" w:hAnsi="Times New Roman" w:cs="Times New Roman"/>
          <w:color w:val="FF0000"/>
          <w:szCs w:val="18"/>
          <w:u w:val="single"/>
          <w:vertAlign w:val="superscript"/>
        </w:rPr>
        <w:footnoteReference w:id="5"/>
      </w:r>
      <w:r w:rsidRPr="00512C84">
        <w:rPr>
          <w:rFonts w:ascii="Times New Roman" w:eastAsia="SimSun" w:hAnsi="Times New Roman" w:cs="Times New Roman"/>
          <w:color w:val="FF0000"/>
          <w:szCs w:val="18"/>
          <w:u w:val="single"/>
        </w:rPr>
        <w:t>.</w:t>
      </w:r>
    </w:p>
    <w:p w14:paraId="66FE8A37" w14:textId="77777777" w:rsidR="00512C84" w:rsidRPr="00512C84" w:rsidRDefault="00512C84" w:rsidP="00512C84">
      <w:pPr>
        <w:tabs>
          <w:tab w:val="left" w:pos="709"/>
        </w:tabs>
        <w:spacing w:before="120" w:after="120" w:line="240" w:lineRule="auto"/>
        <w:ind w:left="1069" w:right="680" w:hanging="360"/>
        <w:jc w:val="both"/>
        <w:rPr>
          <w:rFonts w:ascii="Times New Roman" w:eastAsia="SimSun" w:hAnsi="Times New Roman" w:cs="Times New Roman"/>
          <w:color w:val="FF0000"/>
          <w:szCs w:val="18"/>
          <w:u w:val="single"/>
        </w:rPr>
      </w:pPr>
    </w:p>
    <w:p w14:paraId="4E09456F"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2.   </w:t>
      </w:r>
      <w:r w:rsidRPr="00512C84">
        <w:rPr>
          <w:rFonts w:ascii="Times New Roman" w:eastAsia="SimSun" w:hAnsi="Times New Roman" w:cs="Times New Roman"/>
          <w:b/>
          <w:color w:val="FF0000"/>
        </w:rPr>
        <w:t xml:space="preserve"> </w:t>
      </w:r>
      <w:r w:rsidRPr="00512C84">
        <w:rPr>
          <w:rFonts w:ascii="Times New Roman" w:eastAsia="SimSun" w:hAnsi="Times New Roman" w:cs="Times New Roman"/>
          <w:strike/>
          <w:color w:val="FF0000"/>
        </w:rPr>
        <w:t>All c</w:t>
      </w:r>
      <w:r w:rsidRPr="00512C84">
        <w:rPr>
          <w:rFonts w:ascii="Times New Roman" w:eastAsia="SimSun" w:hAnsi="Times New Roman" w:cs="Times New Roman"/>
          <w:color w:val="FF0000"/>
          <w:u w:val="single"/>
        </w:rPr>
        <w:t>C</w:t>
      </w:r>
      <w:r w:rsidRPr="00512C84">
        <w:rPr>
          <w:rFonts w:ascii="Times New Roman" w:eastAsia="SimSun" w:hAnsi="Times New Roman" w:cs="Times New Roman"/>
        </w:rPr>
        <w:t xml:space="preserve">ountries should take measures to ensure that trustees </w:t>
      </w:r>
      <w:r w:rsidRPr="00512C84">
        <w:rPr>
          <w:rFonts w:ascii="Times New Roman" w:eastAsia="SimSun" w:hAnsi="Times New Roman" w:cs="Times New Roman"/>
          <w:color w:val="FF0000"/>
          <w:u w:val="single"/>
        </w:rPr>
        <w:t>or persons holding equivalent positions in similar legal arrangements</w:t>
      </w:r>
      <w:r w:rsidRPr="00512C84">
        <w:rPr>
          <w:rFonts w:ascii="Times New Roman" w:eastAsia="SimSun" w:hAnsi="Times New Roman" w:cs="Times New Roman"/>
        </w:rPr>
        <w:t xml:space="preserve"> disclose their status to financial institutions and DNFBPs when, </w:t>
      </w:r>
      <w:r w:rsidRPr="00512C84">
        <w:rPr>
          <w:rFonts w:ascii="Times New Roman" w:eastAsia="SimSun" w:hAnsi="Times New Roman" w:cs="Times New Roman"/>
          <w:color w:val="FF0000"/>
          <w:u w:val="single"/>
        </w:rPr>
        <w:t xml:space="preserve">in their function, </w:t>
      </w:r>
      <w:r w:rsidRPr="00512C84">
        <w:rPr>
          <w:rFonts w:ascii="Times New Roman" w:eastAsia="SimSun" w:hAnsi="Times New Roman" w:cs="Times New Roman"/>
          <w:strike/>
          <w:color w:val="FF0000"/>
        </w:rPr>
        <w:t>as a trustee,</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forming a business relationship or carrying out an occasional transaction above the threshold. Trustees </w:t>
      </w:r>
      <w:r w:rsidRPr="00512C84">
        <w:rPr>
          <w:rFonts w:ascii="Times New Roman" w:eastAsia="SimSun" w:hAnsi="Times New Roman" w:cs="Times New Roman"/>
          <w:color w:val="FF0000"/>
          <w:u w:val="single"/>
        </w:rPr>
        <w:t xml:space="preserve">or persons holding equivalent positions in similar legal arrangements </w:t>
      </w:r>
      <w:r w:rsidRPr="00512C84">
        <w:rPr>
          <w:rFonts w:ascii="Times New Roman" w:eastAsia="SimSun" w:hAnsi="Times New Roman" w:cs="Times New Roman"/>
        </w:rPr>
        <w:t xml:space="preserve">should </w:t>
      </w:r>
      <w:r w:rsidRPr="00512C84">
        <w:rPr>
          <w:rFonts w:ascii="Times New Roman" w:eastAsia="SimSun" w:hAnsi="Times New Roman" w:cs="Times New Roman"/>
          <w:color w:val="FF0000"/>
          <w:u w:val="single"/>
        </w:rPr>
        <w:t>cooperate to the fullest extent possible with, and</w:t>
      </w:r>
      <w:r w:rsidRPr="00512C84">
        <w:rPr>
          <w:rFonts w:ascii="Times New Roman" w:eastAsia="SimSun" w:hAnsi="Times New Roman" w:cs="Times New Roman"/>
          <w:u w:val="single"/>
        </w:rPr>
        <w:t xml:space="preserve"> </w:t>
      </w:r>
      <w:r w:rsidRPr="00512C84">
        <w:rPr>
          <w:rFonts w:ascii="Times New Roman" w:eastAsia="SimSun" w:hAnsi="Times New Roman" w:cs="Times New Roman"/>
        </w:rPr>
        <w:t>not be prevented by law or enforceable means from providing</w:t>
      </w:r>
      <w:r w:rsidRPr="00512C84">
        <w:rPr>
          <w:rFonts w:ascii="Times New Roman" w:eastAsia="SimSun" w:hAnsi="Times New Roman" w:cs="Times New Roman"/>
          <w:color w:val="FF0000"/>
          <w:u w:val="single"/>
        </w:rPr>
        <w:t>,</w:t>
      </w:r>
      <w:r w:rsidRPr="00512C84">
        <w:rPr>
          <w:rFonts w:ascii="Times New Roman" w:eastAsia="SimSun" w:hAnsi="Times New Roman" w:cs="Times New Roman"/>
        </w:rPr>
        <w:t xml:space="preserve"> competent authorities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with </w:t>
      </w:r>
      <w:r w:rsidRPr="00512C84">
        <w:rPr>
          <w:rFonts w:ascii="Times New Roman" w:eastAsia="SimSun" w:hAnsi="Times New Roman" w:cs="Times New Roman"/>
          <w:strike/>
          <w:color w:val="FF0000"/>
        </w:rPr>
        <w:t xml:space="preserve">any </w:t>
      </w:r>
      <w:r w:rsidRPr="00512C84">
        <w:rPr>
          <w:rFonts w:ascii="Times New Roman" w:eastAsia="SimSun" w:hAnsi="Times New Roman" w:cs="Times New Roman"/>
          <w:color w:val="FF0000"/>
          <w:u w:val="single"/>
        </w:rPr>
        <w:t>necessary</w:t>
      </w:r>
      <w:r w:rsidRPr="00512C84">
        <w:rPr>
          <w:rFonts w:ascii="Times New Roman" w:eastAsia="SimSun" w:hAnsi="Times New Roman" w:cs="Times New Roman"/>
        </w:rPr>
        <w:t xml:space="preserve"> information relating to the trust</w:t>
      </w:r>
      <w:r w:rsidRPr="00512C84">
        <w:rPr>
          <w:rFonts w:ascii="Times New Roman" w:eastAsia="SimSun" w:hAnsi="Times New Roman" w:cs="Times New Roman"/>
          <w:color w:val="FF0000"/>
          <w:u w:val="single"/>
        </w:rPr>
        <w:t xml:space="preserve"> or other similar legal arrangements</w:t>
      </w:r>
      <w:r w:rsidRPr="00512C84">
        <w:rPr>
          <w:rFonts w:ascii="Times New Roman" w:eastAsia="SimSun" w:hAnsi="Times New Roman" w:cs="Times New Roman"/>
          <w:vertAlign w:val="superscript"/>
        </w:rPr>
        <w:footnoteReference w:id="6"/>
      </w:r>
      <w:r w:rsidRPr="00512C84">
        <w:rPr>
          <w:rFonts w:ascii="Times New Roman" w:eastAsia="SimSun" w:hAnsi="Times New Roman" w:cs="Times New Roman"/>
          <w:color w:val="FF0000"/>
          <w:u w:val="single"/>
        </w:rPr>
        <w:t>.</w:t>
      </w:r>
      <w:r w:rsidRPr="00512C84">
        <w:rPr>
          <w:rFonts w:ascii="Times New Roman" w:eastAsia="SimSun" w:hAnsi="Times New Roman" w:cs="Times New Roman"/>
        </w:rPr>
        <w:t xml:space="preserve"> </w:t>
      </w:r>
      <w:r w:rsidRPr="00512C84">
        <w:rPr>
          <w:rFonts w:ascii="Times New Roman" w:eastAsia="SimSun" w:hAnsi="Times New Roman" w:cs="Times New Roman"/>
          <w:color w:val="FF0000"/>
          <w:u w:val="single"/>
        </w:rPr>
        <w:t>Countries should also ensure that trustees or persons holding equivalent positions in similar legal arrangements</w:t>
      </w:r>
      <w:r w:rsidRPr="00512C84">
        <w:rPr>
          <w:rFonts w:ascii="Times New Roman" w:eastAsia="SimSun" w:hAnsi="Times New Roman" w:cs="Times New Roman"/>
        </w:rPr>
        <w:t xml:space="preserve"> </w:t>
      </w:r>
      <w:r w:rsidRPr="00512C84">
        <w:rPr>
          <w:rFonts w:ascii="Times New Roman" w:eastAsia="SimSun" w:hAnsi="Times New Roman" w:cs="Times New Roman"/>
          <w:color w:val="FF0000"/>
          <w:u w:val="single"/>
        </w:rPr>
        <w:t>should not be prevented by law or enforceable means from</w:t>
      </w:r>
      <w:r w:rsidRPr="00512C84">
        <w:rPr>
          <w:rFonts w:ascii="Times New Roman" w:eastAsia="SimSun" w:hAnsi="Times New Roman" w:cs="Times New Roman"/>
          <w:strike/>
          <w:color w:val="FF0000"/>
        </w:rPr>
        <w:t>; or from</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providing financial institutions and DNFBPs, upon request, with information on the beneficial ownership and the assets of the trust </w:t>
      </w:r>
      <w:r w:rsidRPr="00512C84">
        <w:rPr>
          <w:rFonts w:ascii="Times New Roman" w:eastAsia="SimSun" w:hAnsi="Times New Roman" w:cs="Times New Roman"/>
          <w:color w:val="FF0000"/>
          <w:u w:val="single"/>
        </w:rPr>
        <w:t>or legal arrangement</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to be held or managed under the terms of the business relationship.</w:t>
      </w:r>
    </w:p>
    <w:p w14:paraId="54B98AEA" w14:textId="77777777" w:rsidR="00512C84" w:rsidRPr="00512C84" w:rsidRDefault="00512C84" w:rsidP="00512C84">
      <w:pPr>
        <w:keepNext/>
        <w:keepLines/>
        <w:tabs>
          <w:tab w:val="left" w:pos="850"/>
          <w:tab w:val="left" w:pos="1191"/>
          <w:tab w:val="left" w:pos="1531"/>
        </w:tabs>
        <w:spacing w:before="240" w:after="120" w:line="240" w:lineRule="auto"/>
        <w:ind w:left="709" w:right="680"/>
        <w:jc w:val="both"/>
        <w:outlineLvl w:val="2"/>
        <w:rPr>
          <w:rFonts w:ascii="Times New Roman" w:eastAsia="Times New Roman" w:hAnsi="Times New Roman" w:cs="Times New Roman"/>
          <w:b/>
          <w:i/>
          <w:color w:val="262626"/>
        </w:rPr>
      </w:pPr>
      <w:r w:rsidRPr="00512C84">
        <w:rPr>
          <w:rFonts w:ascii="Times New Roman" w:eastAsia="Times New Roman" w:hAnsi="Times New Roman" w:cs="Times New Roman"/>
          <w:color w:val="262626"/>
          <w:lang w:val="en-HK"/>
        </w:rPr>
        <w:lastRenderedPageBreak/>
        <w:t>3.</w:t>
      </w:r>
      <w:r w:rsidRPr="00512C84">
        <w:rPr>
          <w:rFonts w:ascii="Times New Roman" w:eastAsia="Times New Roman" w:hAnsi="Times New Roman" w:cs="Times New Roman"/>
          <w:b/>
          <w:i/>
          <w:color w:val="262626"/>
          <w:sz w:val="24"/>
          <w:lang w:val="en-HK"/>
        </w:rPr>
        <w:t xml:space="preserve">     </w:t>
      </w:r>
      <w:r w:rsidRPr="00512C84">
        <w:rPr>
          <w:rFonts w:ascii="Times New Roman" w:eastAsia="Times New Roman" w:hAnsi="Times New Roman" w:cs="Times New Roman"/>
          <w:color w:val="FF0000"/>
          <w:u w:val="single"/>
          <w:lang w:val="en-US"/>
        </w:rPr>
        <w:t>In order to ensure that adequate, accurate and up-to-date information on the basic and beneficial ownership of the trusts</w:t>
      </w:r>
      <w:r w:rsidRPr="00512C84">
        <w:rPr>
          <w:rFonts w:ascii="Times New Roman" w:eastAsia="Times New Roman" w:hAnsi="Times New Roman" w:cs="Times New Roman"/>
          <w:b/>
          <w:i/>
          <w:color w:val="FF0000"/>
          <w:u w:val="single"/>
        </w:rPr>
        <w:t xml:space="preserve"> </w:t>
      </w:r>
      <w:r w:rsidRPr="00512C84">
        <w:rPr>
          <w:rFonts w:ascii="Times New Roman" w:eastAsia="Times New Roman" w:hAnsi="Times New Roman" w:cs="Times New Roman"/>
          <w:color w:val="FF0000"/>
          <w:u w:val="single"/>
        </w:rPr>
        <w:t>or other similar legal arrangements</w:t>
      </w:r>
      <w:r w:rsidRPr="00512C84">
        <w:rPr>
          <w:rFonts w:ascii="Times New Roman" w:eastAsia="Times New Roman" w:hAnsi="Times New Roman" w:cs="Times New Roman"/>
          <w:color w:val="FF0000"/>
          <w:u w:val="single"/>
          <w:lang w:val="en-US"/>
        </w:rPr>
        <w:t xml:space="preserve">, trustees and trust assets, is accessible efficiently and in a timely manner by competent authorities, other than trustees or persons holding an equivalent position in a similar legal arrangement, on the basis of risk, context and materiality, countries should consider using any of the following </w:t>
      </w:r>
      <w:r w:rsidRPr="00512C84">
        <w:rPr>
          <w:rFonts w:ascii="Times New Roman" w:eastAsia="Times New Roman" w:hAnsi="Times New Roman" w:cs="Times New Roman"/>
          <w:strike/>
          <w:color w:val="FF0000"/>
        </w:rPr>
        <w:t>Countries are encouraged to ensure that other relevant authorities, persons and entities hold information on all trusts with which they have a relationship. Potential</w:t>
      </w:r>
      <w:r w:rsidRPr="00512C84">
        <w:rPr>
          <w:rFonts w:ascii="Times New Roman" w:eastAsia="Times New Roman" w:hAnsi="Times New Roman" w:cs="Times New Roman"/>
          <w:color w:val="FF0000"/>
        </w:rPr>
        <w:t xml:space="preserve"> </w:t>
      </w:r>
      <w:r w:rsidRPr="00512C84">
        <w:rPr>
          <w:rFonts w:ascii="Times New Roman" w:eastAsia="Times New Roman" w:hAnsi="Times New Roman" w:cs="Times New Roman"/>
          <w:color w:val="262626"/>
        </w:rPr>
        <w:t xml:space="preserve">sources of information </w:t>
      </w:r>
      <w:r w:rsidRPr="00512C84">
        <w:rPr>
          <w:rFonts w:ascii="Times New Roman" w:eastAsia="Times New Roman" w:hAnsi="Times New Roman" w:cs="Times New Roman"/>
          <w:color w:val="FF0000"/>
          <w:u w:val="single"/>
        </w:rPr>
        <w:t>as necessary</w:t>
      </w:r>
      <w:r w:rsidRPr="00512C84">
        <w:rPr>
          <w:rFonts w:ascii="Times New Roman" w:eastAsia="Times New Roman" w:hAnsi="Times New Roman" w:cs="Times New Roman"/>
          <w:strike/>
          <w:color w:val="FF0000"/>
        </w:rPr>
        <w:t xml:space="preserve"> on trusts, trustees, and trust assets are</w:t>
      </w:r>
      <w:r w:rsidRPr="00512C84">
        <w:rPr>
          <w:rFonts w:ascii="Times New Roman" w:eastAsia="Times New Roman" w:hAnsi="Times New Roman" w:cs="Times New Roman"/>
          <w:color w:val="262626"/>
        </w:rPr>
        <w:t>:</w:t>
      </w:r>
    </w:p>
    <w:p w14:paraId="6D1319CF" w14:textId="77777777" w:rsidR="00512C84" w:rsidRPr="00512C84" w:rsidRDefault="00512C84" w:rsidP="00512C84">
      <w:pPr>
        <w:keepNext/>
        <w:keepLines/>
        <w:tabs>
          <w:tab w:val="left" w:pos="1134"/>
          <w:tab w:val="left" w:pos="1191"/>
          <w:tab w:val="left" w:pos="1531"/>
        </w:tabs>
        <w:spacing w:before="240" w:after="120" w:line="240" w:lineRule="auto"/>
        <w:ind w:left="1134" w:right="680"/>
        <w:outlineLvl w:val="2"/>
        <w:rPr>
          <w:rFonts w:ascii="Times New Roman" w:eastAsia="Times New Roman" w:hAnsi="Times New Roman" w:cs="Times New Roman"/>
          <w:strike/>
          <w:color w:val="FF0000"/>
          <w:u w:val="single"/>
          <w:lang w:val="en-HK"/>
        </w:rPr>
      </w:pPr>
      <w:r w:rsidRPr="00512C84">
        <w:rPr>
          <w:rFonts w:ascii="Times New Roman" w:eastAsia="Times New Roman" w:hAnsi="Times New Roman" w:cs="Times New Roman"/>
          <w:strike/>
          <w:color w:val="FF0000"/>
          <w:lang w:val="en-HK"/>
        </w:rPr>
        <w:t>(a)</w:t>
      </w:r>
      <w:r w:rsidRPr="00512C84">
        <w:rPr>
          <w:rFonts w:ascii="Times New Roman" w:eastAsia="Times New Roman" w:hAnsi="Times New Roman" w:cs="Times New Roman"/>
          <w:strike/>
          <w:color w:val="FF0000"/>
          <w:u w:val="single"/>
          <w:lang w:val="en-HK"/>
        </w:rPr>
        <w:t xml:space="preserve"> Registries (e.g. a central registry of trusts or trust assets), or asset registries for land, property, vehicles, shares or other assets</w:t>
      </w:r>
      <w:r w:rsidRPr="00512C84">
        <w:rPr>
          <w:rFonts w:ascii="Times New Roman" w:eastAsia="Times New Roman" w:hAnsi="Times New Roman" w:cs="Times New Roman"/>
          <w:strike/>
          <w:color w:val="4E81BD"/>
          <w:lang w:val="en-HK"/>
        </w:rPr>
        <w:t xml:space="preserve"> </w:t>
      </w:r>
    </w:p>
    <w:p w14:paraId="10D1FC22" w14:textId="77777777" w:rsidR="00512C84" w:rsidRPr="00512C84" w:rsidRDefault="00512C84" w:rsidP="00512C84">
      <w:pPr>
        <w:tabs>
          <w:tab w:val="left" w:pos="1134"/>
        </w:tabs>
        <w:spacing w:before="120" w:after="120" w:line="240" w:lineRule="auto"/>
        <w:ind w:left="1134" w:right="680"/>
        <w:jc w:val="both"/>
        <w:rPr>
          <w:rFonts w:ascii="Times New Roman" w:eastAsia="SimSun" w:hAnsi="Times New Roman" w:cs="Times New Roman"/>
          <w:color w:val="FF0000"/>
          <w:u w:val="single"/>
          <w:lang w:val="en-HK"/>
        </w:rPr>
      </w:pPr>
      <w:r w:rsidRPr="00512C84">
        <w:rPr>
          <w:rFonts w:ascii="Times New Roman" w:eastAsia="SimSun" w:hAnsi="Times New Roman" w:cs="Times New Roman"/>
          <w:color w:val="FF0000"/>
          <w:u w:val="single"/>
          <w:lang w:val="en-HK"/>
        </w:rPr>
        <w:t>(a) A public authority or body holding information on the beneficial ownership of trusts or other similar arrangements (e.g. in a central registry of trusts; or in asset registries for land, property, vehicles, shares or other assets that hold information on the beneficial ownership of trusts and other similar legal arrangements which own such assets). Information need not be held by a single body only.</w:t>
      </w:r>
      <w:r w:rsidRPr="00512C84">
        <w:rPr>
          <w:rFonts w:ascii="Times New Roman" w:eastAsia="SimSun" w:hAnsi="Times New Roman" w:cs="Times New Roman"/>
          <w:strike/>
          <w:color w:val="FF0000"/>
          <w:u w:val="single"/>
          <w:vertAlign w:val="superscript"/>
          <w:lang w:val="en-HK"/>
        </w:rPr>
        <w:footnoteReference w:id="7"/>
      </w:r>
    </w:p>
    <w:p w14:paraId="62C26769" w14:textId="77777777" w:rsidR="00512C84" w:rsidRPr="00512C84" w:rsidRDefault="00512C84" w:rsidP="00512C84">
      <w:pPr>
        <w:tabs>
          <w:tab w:val="left" w:pos="1134"/>
        </w:tabs>
        <w:spacing w:before="120" w:after="120" w:line="240" w:lineRule="auto"/>
        <w:ind w:left="1134" w:right="680"/>
        <w:jc w:val="both"/>
        <w:rPr>
          <w:rFonts w:ascii="Times New Roman" w:eastAsia="SimSun" w:hAnsi="Times New Roman" w:cs="Times New Roman"/>
        </w:rPr>
      </w:pPr>
      <w:r w:rsidRPr="00512C84">
        <w:rPr>
          <w:rFonts w:ascii="Times New Roman" w:eastAsia="SimSun" w:hAnsi="Times New Roman" w:cs="Times New Roman"/>
          <w:color w:val="FF0000"/>
        </w:rPr>
        <w:t xml:space="preserve">(b) </w:t>
      </w:r>
      <w:r w:rsidRPr="00512C84">
        <w:rPr>
          <w:rFonts w:ascii="Times New Roman" w:eastAsia="SimSun" w:hAnsi="Times New Roman" w:cs="Times New Roman"/>
        </w:rPr>
        <w:t xml:space="preserve">Other competent authorities that hold </w:t>
      </w:r>
      <w:r w:rsidRPr="00512C84">
        <w:rPr>
          <w:rFonts w:ascii="Times New Roman" w:eastAsia="SimSun" w:hAnsi="Times New Roman" w:cs="Times New Roman"/>
          <w:color w:val="FF0000"/>
          <w:u w:val="single"/>
          <w:lang w:val="en-US"/>
        </w:rPr>
        <w:t>or obtain</w:t>
      </w:r>
      <w:r w:rsidRPr="00512C84">
        <w:rPr>
          <w:rFonts w:ascii="Times New Roman" w:eastAsia="SimSun" w:hAnsi="Times New Roman" w:cs="Times New Roman"/>
          <w:color w:val="FF0000"/>
          <w:lang w:val="en-US"/>
        </w:rPr>
        <w:t xml:space="preserve"> </w:t>
      </w:r>
      <w:r w:rsidRPr="00512C84">
        <w:rPr>
          <w:rFonts w:ascii="Times New Roman" w:eastAsia="SimSun" w:hAnsi="Times New Roman" w:cs="Times New Roman"/>
        </w:rPr>
        <w:t>information on trusts</w:t>
      </w:r>
      <w:r w:rsidRPr="00512C84">
        <w:rPr>
          <w:rFonts w:ascii="Times New Roman" w:eastAsia="SimSun" w:hAnsi="Times New Roman" w:cs="Times New Roman"/>
          <w:color w:val="FF0000"/>
          <w:u w:val="single"/>
        </w:rPr>
        <w:t xml:space="preserve">/similar legal arrangements </w:t>
      </w:r>
      <w:r w:rsidRPr="00512C84">
        <w:rPr>
          <w:rFonts w:ascii="Times New Roman" w:eastAsia="SimSun" w:hAnsi="Times New Roman" w:cs="Times New Roman"/>
        </w:rPr>
        <w:t>and trustees</w:t>
      </w:r>
      <w:r w:rsidRPr="00512C84">
        <w:rPr>
          <w:rFonts w:ascii="Times New Roman" w:eastAsia="SimSun" w:hAnsi="Times New Roman" w:cs="Times New Roman"/>
          <w:color w:val="FF0000"/>
          <w:u w:val="single"/>
        </w:rPr>
        <w:t>/their equivalents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(e.g. tax authorities which collect information on assets and income relating to trusts </w:t>
      </w:r>
      <w:r w:rsidRPr="00512C84">
        <w:rPr>
          <w:rFonts w:ascii="Times New Roman" w:eastAsia="SimSun" w:hAnsi="Times New Roman" w:cs="Times New Roman"/>
          <w:color w:val="FF0000"/>
          <w:u w:val="single"/>
        </w:rPr>
        <w:t>and other similar legal arrangements</w:t>
      </w:r>
      <w:r w:rsidRPr="00512C84">
        <w:rPr>
          <w:rFonts w:ascii="Times New Roman" w:eastAsia="SimSun" w:hAnsi="Times New Roman" w:cs="Times New Roman"/>
        </w:rPr>
        <w:t xml:space="preserve">). </w:t>
      </w:r>
    </w:p>
    <w:p w14:paraId="570616C9" w14:textId="77777777" w:rsidR="00512C84" w:rsidRPr="00512C84" w:rsidRDefault="00512C84" w:rsidP="00512C84">
      <w:pPr>
        <w:tabs>
          <w:tab w:val="left" w:pos="1134"/>
        </w:tabs>
        <w:spacing w:before="120" w:after="120" w:line="240" w:lineRule="auto"/>
        <w:ind w:left="1134" w:right="680"/>
        <w:jc w:val="both"/>
        <w:rPr>
          <w:rFonts w:ascii="Times New Roman" w:eastAsia="SimSun" w:hAnsi="Times New Roman" w:cs="Times New Roman"/>
        </w:rPr>
      </w:pPr>
      <w:r w:rsidRPr="00512C84">
        <w:rPr>
          <w:rFonts w:ascii="Times New Roman" w:eastAsia="SimSun" w:hAnsi="Times New Roman" w:cs="Times New Roman"/>
          <w:color w:val="FF0000"/>
        </w:rPr>
        <w:t xml:space="preserve">(c) </w:t>
      </w:r>
      <w:r w:rsidRPr="00512C84">
        <w:rPr>
          <w:rFonts w:ascii="Times New Roman" w:eastAsia="SimSun" w:hAnsi="Times New Roman" w:cs="Times New Roman"/>
        </w:rPr>
        <w:t xml:space="preserve">Other agents </w:t>
      </w:r>
      <w:r w:rsidRPr="00512C84">
        <w:rPr>
          <w:rFonts w:ascii="Times New Roman" w:eastAsia="SimSun" w:hAnsi="Times New Roman" w:cs="Times New Roman"/>
          <w:strike/>
          <w:color w:val="FF0000"/>
        </w:rPr>
        <w:t>and</w:t>
      </w:r>
      <w:r w:rsidRPr="00512C84">
        <w:rPr>
          <w:rFonts w:ascii="Times New Roman" w:eastAsia="SimSun" w:hAnsi="Times New Roman" w:cs="Times New Roman"/>
        </w:rPr>
        <w:t xml:space="preserve">or service providers </w:t>
      </w:r>
      <w:r w:rsidRPr="00512C84">
        <w:rPr>
          <w:rFonts w:ascii="Times New Roman" w:eastAsia="SimSun" w:hAnsi="Times New Roman" w:cs="Times New Roman"/>
          <w:color w:val="FF0000"/>
          <w:u w:val="single"/>
        </w:rPr>
        <w:t>including trust and company service providers,</w:t>
      </w:r>
      <w:r w:rsidRPr="00512C84">
        <w:rPr>
          <w:rFonts w:ascii="Times New Roman" w:eastAsia="SimSun" w:hAnsi="Times New Roman" w:cs="Times New Roman"/>
          <w:strike/>
          <w:color w:val="FF0000"/>
        </w:rPr>
        <w:t xml:space="preserve"> to the trust, including</w:t>
      </w:r>
      <w:r w:rsidRPr="00512C84">
        <w:rPr>
          <w:rFonts w:ascii="Times New Roman" w:eastAsia="SimSun" w:hAnsi="Times New Roman" w:cs="Times New Roman"/>
        </w:rPr>
        <w:t xml:space="preserve"> investment advisors or managers</w:t>
      </w:r>
      <w:r w:rsidRPr="00512C84">
        <w:rPr>
          <w:rFonts w:ascii="Times New Roman" w:eastAsia="SimSun" w:hAnsi="Times New Roman" w:cs="Times New Roman"/>
          <w:color w:val="FF0000"/>
          <w:u w:val="single"/>
        </w:rPr>
        <w:t>, accountants</w:t>
      </w:r>
      <w:r w:rsidRPr="00512C84">
        <w:rPr>
          <w:rFonts w:ascii="Times New Roman" w:eastAsia="SimSun" w:hAnsi="Times New Roman" w:cs="Times New Roman"/>
        </w:rPr>
        <w:t xml:space="preserve">, </w:t>
      </w:r>
      <w:r w:rsidRPr="00512C84">
        <w:rPr>
          <w:rFonts w:ascii="Times New Roman" w:eastAsia="SimSun" w:hAnsi="Times New Roman" w:cs="Times New Roman"/>
          <w:strike/>
          <w:color w:val="FF0000"/>
          <w:u w:val="single"/>
        </w:rPr>
        <w:t>or</w:t>
      </w:r>
      <w:r w:rsidRPr="00512C84">
        <w:rPr>
          <w:rFonts w:ascii="Times New Roman" w:eastAsia="SimSun" w:hAnsi="Times New Roman" w:cs="Times New Roman"/>
        </w:rPr>
        <w:t xml:space="preserve"> lawyers, </w:t>
      </w:r>
      <w:r w:rsidRPr="00512C84">
        <w:rPr>
          <w:rFonts w:ascii="Times New Roman" w:eastAsia="SimSun" w:hAnsi="Times New Roman" w:cs="Times New Roman"/>
          <w:color w:val="FF0000"/>
          <w:u w:val="single"/>
        </w:rPr>
        <w:t>or financial institutions</w:t>
      </w:r>
      <w:r w:rsidRPr="00512C84">
        <w:rPr>
          <w:rFonts w:ascii="Times New Roman" w:eastAsia="SimSun" w:hAnsi="Times New Roman" w:cs="Times New Roman"/>
          <w:strike/>
          <w:color w:val="FF0000"/>
        </w:rPr>
        <w:t>, or trust and company service providers</w:t>
      </w:r>
      <w:r w:rsidRPr="00512C84">
        <w:rPr>
          <w:rFonts w:ascii="Times New Roman" w:eastAsia="SimSun" w:hAnsi="Times New Roman" w:cs="Times New Roman"/>
        </w:rPr>
        <w:t>.</w:t>
      </w:r>
    </w:p>
    <w:p w14:paraId="1FA50F96" w14:textId="77777777" w:rsidR="00512C84" w:rsidRPr="00512C84" w:rsidRDefault="00512C84" w:rsidP="00512C84">
      <w:pPr>
        <w:spacing w:before="120" w:after="120" w:line="240" w:lineRule="auto"/>
        <w:ind w:left="680" w:right="680"/>
        <w:jc w:val="both"/>
        <w:rPr>
          <w:rFonts w:ascii="Times New Roman" w:eastAsia="SimSun" w:hAnsi="Times New Roman" w:cs="Times New Roman"/>
          <w:color w:val="FF0000"/>
          <w:u w:val="single"/>
        </w:rPr>
      </w:pPr>
      <w:r w:rsidRPr="00512C84">
        <w:rPr>
          <w:rFonts w:ascii="Times New Roman" w:eastAsia="SimSun" w:hAnsi="Times New Roman" w:cs="Times New Roman"/>
          <w:color w:val="FF0000"/>
          <w:u w:val="single"/>
        </w:rPr>
        <w:t>3* Countries should have mechanisms that ensure that information on trusts and other similar legal arrangements, including information provided in accordance with paragraphs 2 and 3, is adequate, accurate and up-to-date</w:t>
      </w:r>
      <w:r w:rsidRPr="00512C84">
        <w:rPr>
          <w:rFonts w:ascii="Times New Roman" w:eastAsia="SimSun" w:hAnsi="Times New Roman" w:cs="Times New Roman"/>
          <w:color w:val="FF0000"/>
          <w:u w:val="single"/>
          <w:vertAlign w:val="superscript"/>
        </w:rPr>
        <w:footnoteReference w:id="8"/>
      </w:r>
      <w:r w:rsidRPr="00512C84">
        <w:rPr>
          <w:rFonts w:ascii="Times New Roman" w:eastAsia="SimSun" w:hAnsi="Times New Roman" w:cs="Times New Roman"/>
          <w:color w:val="FF0000"/>
          <w:u w:val="single"/>
        </w:rPr>
        <w:t>. In the context of legal arrangements:</w:t>
      </w:r>
    </w:p>
    <w:p w14:paraId="1A53BCEB" w14:textId="77777777" w:rsidR="00512C84" w:rsidRPr="00512C84" w:rsidRDefault="00512C84" w:rsidP="00512C84">
      <w:pPr>
        <w:spacing w:before="120" w:after="120" w:line="240" w:lineRule="auto"/>
        <w:ind w:left="1134" w:right="680"/>
        <w:jc w:val="both"/>
        <w:rPr>
          <w:rFonts w:ascii="Times New Roman" w:eastAsia="SimSun" w:hAnsi="Times New Roman" w:cs="Times New Roman"/>
          <w:i/>
          <w:color w:val="FF0000"/>
          <w:u w:val="single"/>
        </w:rPr>
      </w:pPr>
      <w:r w:rsidRPr="00512C84">
        <w:rPr>
          <w:rFonts w:ascii="Times New Roman" w:eastAsia="SimSun" w:hAnsi="Times New Roman" w:cs="Times New Roman"/>
          <w:i/>
          <w:color w:val="FF0000"/>
          <w:u w:val="single"/>
        </w:rPr>
        <w:t xml:space="preserve">Adequate </w:t>
      </w:r>
      <w:r w:rsidRPr="00512C84">
        <w:rPr>
          <w:rFonts w:ascii="Times New Roman" w:eastAsia="SimSun" w:hAnsi="Times New Roman" w:cs="Times New Roman"/>
          <w:color w:val="FF0000"/>
          <w:u w:val="single"/>
        </w:rPr>
        <w:t>information is information that is sufficient to identify the natural persons who are the beneficial owner(s), and their role in the trust</w:t>
      </w:r>
      <w:r w:rsidRPr="00512C84">
        <w:rPr>
          <w:rFonts w:ascii="Times New Roman" w:eastAsia="SimSun" w:hAnsi="Times New Roman" w:cs="Times New Roman"/>
          <w:color w:val="FF0000"/>
          <w:u w:val="single"/>
          <w:vertAlign w:val="superscript"/>
        </w:rPr>
        <w:footnoteReference w:id="9"/>
      </w:r>
      <w:r w:rsidRPr="00512C84">
        <w:rPr>
          <w:rFonts w:ascii="Times New Roman" w:eastAsia="SimSun" w:hAnsi="Times New Roman" w:cs="Times New Roman"/>
          <w:color w:val="FF0000"/>
          <w:u w:val="single"/>
        </w:rPr>
        <w:t xml:space="preserve"> </w:t>
      </w:r>
      <w:r w:rsidRPr="00512C84">
        <w:rPr>
          <w:rFonts w:ascii="Times New Roman" w:eastAsia="SimSun" w:hAnsi="Times New Roman" w:cs="Times New Roman"/>
          <w:i/>
          <w:color w:val="FF0000"/>
          <w:u w:val="single"/>
        </w:rPr>
        <w:t>.</w:t>
      </w:r>
    </w:p>
    <w:p w14:paraId="19834B88" w14:textId="77777777" w:rsidR="00512C84" w:rsidRPr="00512C84" w:rsidRDefault="00512C84" w:rsidP="00512C84">
      <w:pPr>
        <w:tabs>
          <w:tab w:val="left" w:pos="1361"/>
        </w:tabs>
        <w:spacing w:before="120" w:after="120" w:line="240" w:lineRule="auto"/>
        <w:ind w:left="1134" w:right="680"/>
        <w:jc w:val="both"/>
        <w:rPr>
          <w:rFonts w:ascii="Times New Roman" w:eastAsia="SimSun" w:hAnsi="Times New Roman" w:cs="Times New Roman"/>
          <w:color w:val="FF0000"/>
          <w:u w:val="single"/>
        </w:rPr>
      </w:pPr>
      <w:r w:rsidRPr="00512C84">
        <w:rPr>
          <w:rFonts w:ascii="Times New Roman" w:eastAsia="SimSun" w:hAnsi="Times New Roman" w:cs="Times New Roman"/>
          <w:i/>
          <w:color w:val="FF0000"/>
          <w:u w:val="single"/>
        </w:rPr>
        <w:t>Accurate</w:t>
      </w:r>
      <w:r w:rsidRPr="00512C84">
        <w:rPr>
          <w:rFonts w:ascii="Times New Roman" w:eastAsia="SimSun" w:hAnsi="Times New Roman" w:cs="Times New Roman"/>
          <w:color w:val="FF0000"/>
          <w:u w:val="single"/>
        </w:rPr>
        <w:t xml:space="preserve"> information is information, which has been verified to confirm its accuracy by verifying the identity and status of the beneficial owner using reliable documents, data or information. The extent of verification measures may vary according to the specific level of risk.</w:t>
      </w:r>
    </w:p>
    <w:p w14:paraId="5CF550CF" w14:textId="77777777" w:rsidR="00512C84" w:rsidRPr="00512C84" w:rsidRDefault="00512C84" w:rsidP="00512C84">
      <w:pPr>
        <w:tabs>
          <w:tab w:val="left" w:pos="1361"/>
        </w:tabs>
        <w:spacing w:before="120" w:after="120" w:line="240" w:lineRule="auto"/>
        <w:ind w:left="1134" w:right="680"/>
        <w:jc w:val="both"/>
        <w:rPr>
          <w:rFonts w:ascii="Times New Roman" w:eastAsia="SimSun" w:hAnsi="Times New Roman" w:cs="Times New Roman"/>
          <w:color w:val="FF0000"/>
          <w:u w:val="single"/>
        </w:rPr>
      </w:pPr>
      <w:r w:rsidRPr="00512C84">
        <w:rPr>
          <w:rFonts w:ascii="Times New Roman" w:eastAsia="SimSun" w:hAnsi="Times New Roman" w:cs="Times New Roman"/>
          <w:i/>
          <w:color w:val="FF0000"/>
          <w:u w:val="single"/>
        </w:rPr>
        <w:t xml:space="preserve">Up-to-date </w:t>
      </w:r>
      <w:r w:rsidRPr="00512C84">
        <w:rPr>
          <w:rFonts w:ascii="Times New Roman" w:eastAsia="SimSun" w:hAnsi="Times New Roman" w:cs="Times New Roman"/>
          <w:color w:val="FF0000"/>
          <w:u w:val="single"/>
        </w:rPr>
        <w:t>information is information which is as current and up-to-date as possible, and is updated within a reasonable period following any change.</w:t>
      </w:r>
    </w:p>
    <w:p w14:paraId="4A29FC13"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4.         </w:t>
      </w:r>
      <w:r w:rsidRPr="00512C84">
        <w:rPr>
          <w:rFonts w:ascii="Times New Roman" w:eastAsia="SimSun" w:hAnsi="Times New Roman" w:cs="Times New Roman"/>
          <w:color w:val="FF0000"/>
          <w:u w:val="single"/>
        </w:rPr>
        <w:t xml:space="preserve">Countries should ensure that </w:t>
      </w:r>
      <w:r w:rsidRPr="00512C84">
        <w:rPr>
          <w:rFonts w:ascii="Times New Roman" w:eastAsia="SimSun" w:hAnsi="Times New Roman" w:cs="Times New Roman"/>
          <w:strike/>
          <w:color w:val="FF0000"/>
          <w:u w:val="single"/>
        </w:rPr>
        <w:t>C</w:t>
      </w:r>
      <w:r w:rsidRPr="00512C84">
        <w:rPr>
          <w:rFonts w:ascii="Times New Roman" w:eastAsia="SimSun" w:hAnsi="Times New Roman" w:cs="Times New Roman"/>
          <w:color w:val="FF0000"/>
          <w:u w:val="single"/>
        </w:rPr>
        <w:t>c</w:t>
      </w:r>
      <w:r w:rsidRPr="00512C84">
        <w:rPr>
          <w:rFonts w:ascii="Times New Roman" w:eastAsia="SimSun" w:hAnsi="Times New Roman" w:cs="Times New Roman"/>
        </w:rPr>
        <w:t>ompetent authorities, and in particular law enforcement authorities</w:t>
      </w:r>
      <w:r w:rsidRPr="00512C84">
        <w:rPr>
          <w:rFonts w:ascii="Times New Roman" w:eastAsia="SimSun" w:hAnsi="Times New Roman" w:cs="Times New Roman"/>
          <w:color w:val="FF0000"/>
          <w:u w:val="single"/>
        </w:rPr>
        <w:t xml:space="preserve"> and FIUs</w:t>
      </w:r>
      <w:r w:rsidRPr="00512C84">
        <w:rPr>
          <w:rFonts w:ascii="Times New Roman" w:eastAsia="SimSun" w:hAnsi="Times New Roman" w:cs="Times New Roman"/>
        </w:rPr>
        <w:t>, should have all the powers necessary to obtain timely access to the information held by trustees</w:t>
      </w:r>
      <w:r w:rsidRPr="00512C84">
        <w:rPr>
          <w:rFonts w:ascii="Times New Roman" w:eastAsia="SimSun" w:hAnsi="Times New Roman" w:cs="Times New Roman"/>
          <w:color w:val="FF0000"/>
          <w:u w:val="single"/>
        </w:rPr>
        <w:t xml:space="preserve">, persons holding equivalent positions in </w:t>
      </w:r>
      <w:r w:rsidRPr="00512C84">
        <w:rPr>
          <w:rFonts w:ascii="Times New Roman" w:eastAsia="SimSun" w:hAnsi="Times New Roman" w:cs="Times New Roman"/>
          <w:color w:val="FF0000"/>
          <w:u w:val="single"/>
        </w:rPr>
        <w:lastRenderedPageBreak/>
        <w:t>similar legal arrangements,</w:t>
      </w:r>
      <w:r w:rsidRPr="00512C84">
        <w:rPr>
          <w:rFonts w:ascii="Times New Roman" w:eastAsia="SimSun" w:hAnsi="Times New Roman" w:cs="Times New Roman"/>
        </w:rPr>
        <w:t xml:space="preserve"> and other parties, in particular information held by financial institutions and DNFBPs on: (a) the </w:t>
      </w:r>
      <w:r w:rsidRPr="00512C84">
        <w:rPr>
          <w:rFonts w:ascii="Times New Roman" w:eastAsia="SimSun" w:hAnsi="Times New Roman" w:cs="Times New Roman"/>
          <w:color w:val="FF0000"/>
          <w:u w:val="single"/>
        </w:rPr>
        <w:t>basic and</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beneficial ownership</w:t>
      </w:r>
      <w:r w:rsidRPr="00512C84">
        <w:rPr>
          <w:rFonts w:ascii="Times New Roman" w:eastAsia="SimSun" w:hAnsi="Times New Roman" w:cs="Times New Roman"/>
          <w:color w:val="FF0000"/>
          <w:u w:val="single"/>
        </w:rPr>
        <w:t xml:space="preserve"> of the legal arrangement</w:t>
      </w:r>
      <w:r w:rsidRPr="00512C84">
        <w:rPr>
          <w:rFonts w:ascii="Times New Roman" w:eastAsia="SimSun" w:hAnsi="Times New Roman" w:cs="Times New Roman"/>
        </w:rPr>
        <w:t>; (b) the residence of the trustee</w:t>
      </w:r>
      <w:r w:rsidRPr="00512C84">
        <w:rPr>
          <w:rFonts w:ascii="Times New Roman" w:eastAsia="SimSun" w:hAnsi="Times New Roman" w:cs="Times New Roman"/>
          <w:color w:val="FF0000"/>
          <w:u w:val="single"/>
        </w:rPr>
        <w:t>s and their equivalents</w:t>
      </w:r>
      <w:r w:rsidRPr="00512C84">
        <w:rPr>
          <w:rFonts w:ascii="Times New Roman" w:eastAsia="SimSun" w:hAnsi="Times New Roman" w:cs="Times New Roman"/>
        </w:rPr>
        <w:t xml:space="preserve">; and (c) any assets held or managed by the financial institution or DNFBP, in relation to any trustees </w:t>
      </w:r>
      <w:r w:rsidRPr="00512C84">
        <w:rPr>
          <w:rFonts w:ascii="Times New Roman" w:eastAsia="SimSun" w:hAnsi="Times New Roman" w:cs="Times New Roman"/>
          <w:color w:val="FF0000"/>
          <w:u w:val="single"/>
        </w:rPr>
        <w:t>or their equivalents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with which they have a business relationship, or for which they undertake an occasional transaction.</w:t>
      </w:r>
    </w:p>
    <w:p w14:paraId="47B84DCD"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ab/>
        <w:t xml:space="preserve">5.   </w:t>
      </w:r>
      <w:r w:rsidRPr="00512C84">
        <w:rPr>
          <w:rFonts w:ascii="Times New Roman" w:eastAsia="SimSun" w:hAnsi="Times New Roman" w:cs="Times New Roman"/>
          <w:strike/>
          <w:color w:val="FF0000"/>
          <w:lang w:val="en-NZ"/>
        </w:rPr>
        <w:t xml:space="preserve">Professional </w:t>
      </w:r>
      <w:r w:rsidRPr="00512C84">
        <w:rPr>
          <w:rFonts w:ascii="Times New Roman" w:eastAsia="SimSun" w:hAnsi="Times New Roman" w:cs="Times New Roman"/>
          <w:strike/>
          <w:color w:val="FF0000"/>
        </w:rPr>
        <w:t>t</w:t>
      </w:r>
      <w:r w:rsidRPr="00512C84">
        <w:rPr>
          <w:rFonts w:ascii="Times New Roman" w:eastAsia="SimSun" w:hAnsi="Times New Roman" w:cs="Times New Roman"/>
          <w:color w:val="FF0000"/>
        </w:rPr>
        <w:t>T</w:t>
      </w:r>
      <w:r w:rsidRPr="00512C84">
        <w:rPr>
          <w:rFonts w:ascii="Times New Roman" w:eastAsia="SimSun" w:hAnsi="Times New Roman" w:cs="Times New Roman"/>
        </w:rPr>
        <w:t xml:space="preserve">rustees </w:t>
      </w:r>
      <w:r w:rsidRPr="00512C84">
        <w:rPr>
          <w:rFonts w:ascii="Times New Roman" w:eastAsia="SimSun" w:hAnsi="Times New Roman" w:cs="Times New Roman"/>
          <w:color w:val="FF0000"/>
          <w:u w:val="single"/>
        </w:rPr>
        <w:t xml:space="preserve">and persons holding equivalent positions in similar legal arrangements </w:t>
      </w:r>
      <w:r w:rsidRPr="00512C84">
        <w:rPr>
          <w:rFonts w:ascii="Times New Roman" w:eastAsia="SimSun" w:hAnsi="Times New Roman" w:cs="Times New Roman"/>
        </w:rPr>
        <w:t xml:space="preserve">should be required to maintain the information referred to in paragraph 1 for at least five years after their involvement with the trust </w:t>
      </w:r>
      <w:r w:rsidRPr="00512C84">
        <w:rPr>
          <w:rFonts w:ascii="Times New Roman" w:eastAsia="SimSun" w:hAnsi="Times New Roman" w:cs="Times New Roman"/>
          <w:color w:val="FF0000"/>
          <w:u w:val="single"/>
        </w:rPr>
        <w:t>or similar legal arrangement</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ceases. Countries are encouraged to require </w:t>
      </w:r>
      <w:r w:rsidRPr="00512C84">
        <w:rPr>
          <w:rFonts w:ascii="Times New Roman" w:eastAsia="SimSun" w:hAnsi="Times New Roman" w:cs="Times New Roman"/>
          <w:strike/>
          <w:color w:val="FF0000"/>
        </w:rPr>
        <w:t>non-professional trustees and</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the other authorities, persons and entities mentioned in paragraph 3 above to maintain the information for at least five years.</w:t>
      </w:r>
    </w:p>
    <w:p w14:paraId="048D96B4"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6.    Countries should require that any information held pursuant to paragraph 1 above should be kept accurate and </w:t>
      </w:r>
      <w:r w:rsidRPr="00512C84">
        <w:rPr>
          <w:rFonts w:ascii="Times New Roman" w:eastAsia="SimSun" w:hAnsi="Times New Roman" w:cs="Times New Roman"/>
          <w:strike/>
          <w:color w:val="FF0000"/>
        </w:rPr>
        <w:t>be as current and</w:t>
      </w:r>
      <w:r w:rsidRPr="00512C84">
        <w:rPr>
          <w:rFonts w:ascii="Times New Roman" w:eastAsia="SimSun" w:hAnsi="Times New Roman" w:cs="Times New Roman"/>
        </w:rPr>
        <w:t>up-to-date</w:t>
      </w:r>
      <w:r w:rsidRPr="00512C84">
        <w:rPr>
          <w:rFonts w:ascii="Times New Roman" w:eastAsia="SimSun" w:hAnsi="Times New Roman" w:cs="Times New Roman"/>
          <w:strike/>
          <w:color w:val="FF0000"/>
        </w:rPr>
        <w:t xml:space="preserve"> as possible</w:t>
      </w:r>
      <w:r w:rsidRPr="00512C84">
        <w:rPr>
          <w:rFonts w:ascii="Times New Roman" w:eastAsia="SimSun" w:hAnsi="Times New Roman" w:cs="Times New Roman"/>
        </w:rPr>
        <w:t>, and the information should be updated within a reasonable period following any change.</w:t>
      </w:r>
    </w:p>
    <w:p w14:paraId="46DB3A14"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7.      </w:t>
      </w:r>
      <w:r w:rsidRPr="00512C84">
        <w:rPr>
          <w:rFonts w:ascii="Times New Roman" w:eastAsia="SimSun" w:hAnsi="Times New Roman" w:cs="Times New Roman"/>
          <w:lang w:val="en-HK"/>
        </w:rPr>
        <w:t xml:space="preserve">Countries should consider measures to facilitate access to any </w:t>
      </w:r>
      <w:r w:rsidRPr="00512C84">
        <w:rPr>
          <w:rFonts w:ascii="Times New Roman" w:eastAsia="SimSun" w:hAnsi="Times New Roman" w:cs="Times New Roman"/>
          <w:color w:val="FF0000"/>
          <w:u w:val="single"/>
          <w:lang w:val="en-HK"/>
        </w:rPr>
        <w:t>trust</w:t>
      </w:r>
      <w:r w:rsidRPr="00512C84">
        <w:rPr>
          <w:rFonts w:ascii="Times New Roman" w:eastAsia="SimSun" w:hAnsi="Times New Roman" w:cs="Times New Roman"/>
          <w:color w:val="FF0000"/>
          <w:lang w:val="en-HK"/>
        </w:rPr>
        <w:t xml:space="preserve"> </w:t>
      </w:r>
      <w:r w:rsidRPr="00512C84">
        <w:rPr>
          <w:rFonts w:ascii="Times New Roman" w:eastAsia="SimSun" w:hAnsi="Times New Roman" w:cs="Times New Roman"/>
          <w:lang w:val="en-HK"/>
        </w:rPr>
        <w:t xml:space="preserve">information </w:t>
      </w:r>
      <w:r w:rsidRPr="00512C84">
        <w:rPr>
          <w:rFonts w:ascii="Times New Roman" w:eastAsia="SimSun" w:hAnsi="Times New Roman" w:cs="Times New Roman"/>
          <w:strike/>
          <w:color w:val="FF0000"/>
          <w:lang w:val="en-HK"/>
        </w:rPr>
        <w:t>on trusts that is</w:t>
      </w:r>
      <w:r w:rsidRPr="00512C84">
        <w:rPr>
          <w:rFonts w:ascii="Times New Roman" w:eastAsia="SimSun" w:hAnsi="Times New Roman" w:cs="Times New Roman"/>
          <w:color w:val="FF0000"/>
          <w:lang w:val="en-HK"/>
        </w:rPr>
        <w:t xml:space="preserve"> </w:t>
      </w:r>
      <w:r w:rsidRPr="00512C84">
        <w:rPr>
          <w:rFonts w:ascii="Times New Roman" w:eastAsia="SimSun" w:hAnsi="Times New Roman" w:cs="Times New Roman"/>
          <w:lang w:val="en-HK"/>
        </w:rPr>
        <w:t>held by the other authorities, persons and entities referred to in paragraph 3, by financial institutions and DNFBPs undertaking the requirements set out in Recommendations 10 and 22.</w:t>
      </w:r>
    </w:p>
    <w:p w14:paraId="634FDE11" w14:textId="252FEC55"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8.    </w:t>
      </w:r>
      <w:r w:rsidRPr="00512C84">
        <w:rPr>
          <w:rFonts w:ascii="Times New Roman" w:eastAsia="SimSun" w:hAnsi="Times New Roman" w:cs="Times New Roman"/>
          <w:lang w:val="en-HK"/>
        </w:rPr>
        <w:t>In the context of the Recommendation, countries are not required to give legal recognition to trusts. Countries need not include the requirements of paragraphs 1, 2</w:t>
      </w:r>
      <w:r w:rsidRPr="00512C84">
        <w:rPr>
          <w:rFonts w:ascii="Times New Roman" w:eastAsia="SimSun" w:hAnsi="Times New Roman" w:cs="Times New Roman"/>
          <w:color w:val="FF0000"/>
          <w:u w:val="single"/>
          <w:lang w:val="en-HK"/>
        </w:rPr>
        <w:t>,</w:t>
      </w:r>
      <w:r w:rsidRPr="00512C84">
        <w:rPr>
          <w:rFonts w:ascii="Times New Roman" w:eastAsia="SimSun" w:hAnsi="Times New Roman" w:cs="Times New Roman"/>
          <w:lang w:val="en-HK"/>
        </w:rPr>
        <w:t xml:space="preserve"> </w:t>
      </w:r>
      <w:r w:rsidRPr="00512C84">
        <w:rPr>
          <w:rFonts w:ascii="Times New Roman" w:eastAsia="SimSun" w:hAnsi="Times New Roman" w:cs="Times New Roman"/>
          <w:color w:val="FF0000"/>
          <w:u w:val="single"/>
          <w:lang w:val="en-HK"/>
        </w:rPr>
        <w:t>5,</w:t>
      </w:r>
      <w:r w:rsidRPr="00512C84">
        <w:rPr>
          <w:rFonts w:ascii="Times New Roman" w:eastAsia="SimSun" w:hAnsi="Times New Roman" w:cs="Times New Roman"/>
          <w:color w:val="FF0000"/>
          <w:lang w:val="en-HK"/>
        </w:rPr>
        <w:t xml:space="preserve"> </w:t>
      </w:r>
      <w:r w:rsidRPr="00512C84">
        <w:rPr>
          <w:rFonts w:ascii="Times New Roman" w:eastAsia="SimSun" w:hAnsi="Times New Roman" w:cs="Times New Roman"/>
          <w:strike/>
          <w:color w:val="FF0000"/>
          <w:lang w:val="en-HK"/>
        </w:rPr>
        <w:t xml:space="preserve">and </w:t>
      </w:r>
      <w:r>
        <w:rPr>
          <w:rFonts w:ascii="Times New Roman" w:eastAsia="SimSun" w:hAnsi="Times New Roman" w:cs="Times New Roman"/>
          <w:lang w:val="en-HK"/>
        </w:rPr>
        <w:t xml:space="preserve"> 6</w:t>
      </w:r>
      <w:r w:rsidRPr="00512C84">
        <w:rPr>
          <w:rFonts w:ascii="Times New Roman" w:eastAsia="SimSun" w:hAnsi="Times New Roman" w:cs="Times New Roman"/>
          <w:lang w:val="en-HK"/>
        </w:rPr>
        <w:t xml:space="preserve"> </w:t>
      </w:r>
      <w:r w:rsidRPr="00512C84">
        <w:rPr>
          <w:rFonts w:ascii="Times New Roman" w:eastAsia="SimSun" w:hAnsi="Times New Roman" w:cs="Times New Roman"/>
          <w:color w:val="FF0000"/>
          <w:u w:val="single"/>
          <w:lang w:val="en-HK"/>
        </w:rPr>
        <w:t>and 11</w:t>
      </w:r>
      <w:r w:rsidRPr="00512C84">
        <w:rPr>
          <w:rFonts w:ascii="Times New Roman" w:eastAsia="SimSun" w:hAnsi="Times New Roman" w:cs="Times New Roman"/>
          <w:color w:val="FF0000"/>
          <w:lang w:val="en-HK"/>
        </w:rPr>
        <w:t xml:space="preserve"> </w:t>
      </w:r>
      <w:r w:rsidRPr="00512C84">
        <w:rPr>
          <w:rFonts w:ascii="Times New Roman" w:eastAsia="SimSun" w:hAnsi="Times New Roman" w:cs="Times New Roman"/>
          <w:lang w:val="en-HK"/>
        </w:rPr>
        <w:t>in legislation, provided that appropriate obligations to such effect exist for trustees (e.g. through common law or case law).</w:t>
      </w:r>
    </w:p>
    <w:p w14:paraId="0A0712FD" w14:textId="77777777" w:rsidR="00512C84" w:rsidRPr="00512C84" w:rsidRDefault="00512C84" w:rsidP="00512C84">
      <w:pPr>
        <w:keepNext/>
        <w:keepLines/>
        <w:tabs>
          <w:tab w:val="left" w:pos="850"/>
          <w:tab w:val="left" w:pos="1191"/>
          <w:tab w:val="left" w:pos="1531"/>
        </w:tabs>
        <w:spacing w:before="240" w:after="120" w:line="240" w:lineRule="auto"/>
        <w:ind w:left="680" w:right="680"/>
        <w:outlineLvl w:val="2"/>
        <w:rPr>
          <w:rFonts w:ascii="Times New Roman" w:eastAsia="Times New Roman" w:hAnsi="Times New Roman" w:cs="Times New Roman"/>
          <w:b/>
          <w:i/>
          <w:strike/>
          <w:color w:val="FF0000"/>
          <w:sz w:val="24"/>
        </w:rPr>
      </w:pPr>
      <w:r w:rsidRPr="00512C84">
        <w:rPr>
          <w:rFonts w:ascii="Times New Roman" w:eastAsia="Times New Roman" w:hAnsi="Times New Roman" w:cs="Times New Roman"/>
          <w:b/>
          <w:i/>
          <w:strike/>
          <w:color w:val="FF0000"/>
          <w:sz w:val="24"/>
          <w:u w:val="single"/>
        </w:rPr>
        <w:t>[</w:t>
      </w:r>
      <w:r w:rsidRPr="00512C84">
        <w:rPr>
          <w:rFonts w:ascii="Times New Roman" w:eastAsia="Times New Roman" w:hAnsi="Times New Roman" w:cs="Times New Roman"/>
          <w:b/>
          <w:i/>
          <w:strike/>
          <w:color w:val="FF0000"/>
          <w:sz w:val="24"/>
        </w:rPr>
        <w:t>Other Legal Arrangements</w:t>
      </w:r>
    </w:p>
    <w:p w14:paraId="4C701B19" w14:textId="77777777"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strike/>
          <w:color w:val="FF0000"/>
        </w:rPr>
      </w:pPr>
      <w:r w:rsidRPr="00512C84">
        <w:rPr>
          <w:rFonts w:ascii="Times New Roman" w:eastAsia="SimSun" w:hAnsi="Times New Roman" w:cs="Times New Roman"/>
          <w:strike/>
          <w:color w:val="FF0000"/>
        </w:rPr>
        <w:t>9.     As regards other types of legal arrangement with a similar structure or function, countries should take similar measures to those required for trusts, with a view to achieving similar levels of transparency. At a minimum, countries should ensure that information similar to that specified above in respect of trust should be recorded and kept accurate and current, and that such information is accessible in a timely way by competent authorities.</w:t>
      </w:r>
      <w:r w:rsidRPr="00512C84">
        <w:rPr>
          <w:rFonts w:ascii="Times New Roman" w:eastAsia="SimSun" w:hAnsi="Times New Roman" w:cs="Times New Roman"/>
          <w:strike/>
          <w:color w:val="FF0000"/>
          <w:u w:val="single"/>
        </w:rPr>
        <w:t>]</w:t>
      </w:r>
    </w:p>
    <w:p w14:paraId="03CC67DA" w14:textId="77777777" w:rsidR="00512C84" w:rsidRPr="00512C84" w:rsidRDefault="00512C84" w:rsidP="00512C84">
      <w:pPr>
        <w:keepNext/>
        <w:keepLines/>
        <w:tabs>
          <w:tab w:val="left" w:pos="850"/>
          <w:tab w:val="left" w:pos="1191"/>
          <w:tab w:val="left" w:pos="1531"/>
        </w:tabs>
        <w:spacing w:before="240" w:after="120" w:line="240" w:lineRule="auto"/>
        <w:ind w:left="680" w:right="680"/>
        <w:outlineLvl w:val="2"/>
        <w:rPr>
          <w:rFonts w:ascii="Times New Roman" w:eastAsia="Times New Roman" w:hAnsi="Times New Roman" w:cs="Times New Roman"/>
          <w:b/>
          <w:i/>
          <w:color w:val="262626"/>
          <w:sz w:val="24"/>
        </w:rPr>
      </w:pPr>
      <w:r w:rsidRPr="00512C84">
        <w:rPr>
          <w:rFonts w:ascii="Times New Roman" w:eastAsia="Times New Roman" w:hAnsi="Times New Roman" w:cs="Times New Roman"/>
          <w:b/>
          <w:i/>
          <w:color w:val="262626"/>
          <w:sz w:val="24"/>
        </w:rPr>
        <w:t>International Cooperation</w:t>
      </w:r>
    </w:p>
    <w:p w14:paraId="53B8BA89" w14:textId="784DF281" w:rsidR="00512C84" w:rsidRPr="00512C84" w:rsidRDefault="00512C84" w:rsidP="00512C84">
      <w:pPr>
        <w:tabs>
          <w:tab w:val="left" w:pos="709"/>
        </w:tabs>
        <w:spacing w:before="120" w:after="120" w:line="240" w:lineRule="auto"/>
        <w:ind w:left="709" w:right="680"/>
        <w:jc w:val="both"/>
        <w:rPr>
          <w:rFonts w:ascii="Times New Roman" w:eastAsia="SimSun" w:hAnsi="Times New Roman" w:cs="Times New Roman"/>
          <w:color w:val="FF0000"/>
          <w:u w:val="single"/>
        </w:rPr>
      </w:pPr>
      <w:r w:rsidRPr="00512C84">
        <w:rPr>
          <w:rFonts w:ascii="Times New Roman" w:eastAsia="SimSun" w:hAnsi="Times New Roman" w:cs="Times New Roman"/>
        </w:rPr>
        <w:t>10.    Countries should rapidly, constructively and effectively provide international cooperation in relation to information, including beneficial ownership information, on trusts and other legal arrangements on the basis set out in Recommendations 37 and 40. This should include (a) facilitating access by foreign competent authorities to any information held by registries or other domestic authorities; (b) exchanging domestically available information on the trusts or other legal arrangement; and (c) using their competent authorities’ powers, in accordance with domestic law, in order to obtain beneficial ownership information on behalf of foreign counterparts.</w:t>
      </w:r>
      <w:r w:rsidRPr="00512C84">
        <w:rPr>
          <w:rFonts w:ascii="Times New Roman" w:eastAsia="SimSun" w:hAnsi="Times New Roman" w:cs="Times New Roman"/>
          <w:lang w:val="en-HK"/>
        </w:rPr>
        <w:t xml:space="preserve"> </w:t>
      </w:r>
      <w:r w:rsidRPr="00512C84">
        <w:rPr>
          <w:rFonts w:ascii="Times New Roman" w:eastAsia="SimSun" w:hAnsi="Times New Roman" w:cs="Times New Roman"/>
          <w:color w:val="FF0000"/>
          <w:u w:val="single"/>
        </w:rPr>
        <w:t>Consistent with Recommendations 37 and 40, countries should not place unduly restrictive conditions on the exchange of information or assistance e.g., refuse a request on the grounds that it involves a fiscal, including tax, matters, bank secrecy, etc. In order to facilitate rapid, constructive and effective international cooperation</w:t>
      </w:r>
      <w:r>
        <w:rPr>
          <w:rFonts w:ascii="Times New Roman" w:eastAsia="SimSun" w:hAnsi="Times New Roman" w:cs="Times New Roman"/>
          <w:color w:val="FF0000"/>
          <w:u w:val="single"/>
        </w:rPr>
        <w:t>,</w:t>
      </w:r>
      <w:r w:rsidRPr="00512C84">
        <w:rPr>
          <w:rFonts w:ascii="Times New Roman" w:eastAsia="SimSun" w:hAnsi="Times New Roman" w:cs="Times New Roman"/>
          <w:color w:val="FF0000"/>
          <w:u w:val="single"/>
        </w:rPr>
        <w:t xml:space="preserve"> where possible, countries should designate and make publicly known the agency(ies) responsible for responding to all international requests for BO information, consistent with countries’ approach to access to beneficial ownership information. To this end, countries should consider keeping information held or obtained for the purpose of identifying beneficial ownership in a readily accessible manner.</w:t>
      </w:r>
    </w:p>
    <w:p w14:paraId="70D8F747" w14:textId="77777777" w:rsidR="00512C84" w:rsidRPr="00512C84" w:rsidRDefault="00512C84" w:rsidP="00512C84">
      <w:pPr>
        <w:keepNext/>
        <w:keepLines/>
        <w:tabs>
          <w:tab w:val="left" w:pos="850"/>
          <w:tab w:val="left" w:pos="1191"/>
          <w:tab w:val="left" w:pos="1531"/>
        </w:tabs>
        <w:spacing w:before="240" w:after="120" w:line="240" w:lineRule="auto"/>
        <w:ind w:left="680" w:right="680"/>
        <w:outlineLvl w:val="2"/>
        <w:rPr>
          <w:rFonts w:ascii="Times New Roman" w:eastAsia="Times New Roman" w:hAnsi="Times New Roman" w:cs="Times New Roman"/>
          <w:b/>
          <w:i/>
          <w:color w:val="262626"/>
          <w:sz w:val="24"/>
        </w:rPr>
      </w:pPr>
      <w:r w:rsidRPr="00512C84">
        <w:rPr>
          <w:rFonts w:ascii="Times New Roman" w:eastAsia="Times New Roman" w:hAnsi="Times New Roman" w:cs="Times New Roman"/>
          <w:b/>
          <w:i/>
          <w:color w:val="262626"/>
          <w:sz w:val="24"/>
        </w:rPr>
        <w:lastRenderedPageBreak/>
        <w:t>Liability and Sanctions</w:t>
      </w:r>
    </w:p>
    <w:p w14:paraId="4E935302" w14:textId="77777777" w:rsidR="00512C84" w:rsidRPr="00512C84" w:rsidRDefault="00512C84" w:rsidP="00512C84">
      <w:pPr>
        <w:spacing w:before="120" w:after="120" w:line="240" w:lineRule="auto"/>
        <w:ind w:left="709" w:right="680"/>
        <w:jc w:val="both"/>
        <w:rPr>
          <w:rFonts w:ascii="Times New Roman" w:eastAsia="SimSun" w:hAnsi="Times New Roman" w:cs="Times New Roman"/>
        </w:rPr>
      </w:pPr>
      <w:r w:rsidRPr="00512C84">
        <w:rPr>
          <w:rFonts w:ascii="Times New Roman" w:eastAsia="SimSun" w:hAnsi="Times New Roman" w:cs="Times New Roman"/>
        </w:rPr>
        <w:t xml:space="preserve">11.   Countries should ensure that there are clear responsibilities to comply with the requirements in this Interpretative Note; and that trustees </w:t>
      </w:r>
      <w:r w:rsidRPr="00512C84">
        <w:rPr>
          <w:rFonts w:ascii="Times New Roman" w:eastAsia="SimSun" w:hAnsi="Times New Roman" w:cs="Times New Roman"/>
          <w:color w:val="FF0000"/>
          <w:u w:val="single"/>
        </w:rPr>
        <w:t>or persons holding equivalent positions in similar legal arrangements</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 xml:space="preserve">are either legally liable for any failure to perform the duties relevant to meeting the obligations in paragraphs 1, 2, </w:t>
      </w:r>
      <w:r w:rsidRPr="00512C84">
        <w:rPr>
          <w:rFonts w:ascii="Times New Roman" w:eastAsia="SimSun" w:hAnsi="Times New Roman" w:cs="Times New Roman"/>
          <w:color w:val="FF0000"/>
          <w:u w:val="single"/>
        </w:rPr>
        <w:t>5 and</w:t>
      </w:r>
      <w:r w:rsidRPr="00512C84">
        <w:rPr>
          <w:rFonts w:ascii="Times New Roman" w:eastAsia="SimSun" w:hAnsi="Times New Roman" w:cs="Times New Roman"/>
          <w:color w:val="FF0000"/>
        </w:rPr>
        <w:t xml:space="preserve"> </w:t>
      </w:r>
      <w:r w:rsidRPr="00512C84">
        <w:rPr>
          <w:rFonts w:ascii="Times New Roman" w:eastAsia="SimSun" w:hAnsi="Times New Roman" w:cs="Times New Roman"/>
        </w:rPr>
        <w:t>6</w:t>
      </w:r>
      <w:r w:rsidRPr="00512C84">
        <w:rPr>
          <w:rFonts w:ascii="Times New Roman" w:eastAsia="SimSun" w:hAnsi="Times New Roman" w:cs="Times New Roman"/>
          <w:strike/>
          <w:color w:val="FF0000"/>
        </w:rPr>
        <w:t xml:space="preserve"> and (where applicable) 5</w:t>
      </w:r>
      <w:r w:rsidRPr="00512C84">
        <w:rPr>
          <w:rFonts w:ascii="Times New Roman" w:eastAsia="SimSun" w:hAnsi="Times New Roman" w:cs="Times New Roman"/>
        </w:rPr>
        <w:t>; or that there are effective, proportionate and dissuasive sanctions, whether criminal, civil or administrative, for failing to comply.</w:t>
      </w:r>
      <w:r w:rsidRPr="00512C84">
        <w:rPr>
          <w:rFonts w:ascii="Times New Roman" w:eastAsia="SimSun" w:hAnsi="Times New Roman" w:cs="Times New Roman"/>
          <w:vertAlign w:val="superscript"/>
        </w:rPr>
        <w:footnoteReference w:id="10"/>
      </w:r>
      <w:r w:rsidRPr="00512C84">
        <w:rPr>
          <w:rFonts w:ascii="Times New Roman" w:eastAsia="SimSun" w:hAnsi="Times New Roman" w:cs="Times New Roman"/>
        </w:rPr>
        <w:t xml:space="preserve"> Countries should ensure that there are effective, proportionate and dissuasive sanctions, whether criminal, civil or administrative, for failing to grant to competent authorities timely access to information regarding the trust referred to in paragraphs 1 and 5.</w:t>
      </w:r>
    </w:p>
    <w:p w14:paraId="04E44314" w14:textId="77777777" w:rsidR="00EF14DD" w:rsidRDefault="00EF14DD"/>
    <w:sectPr w:rsidR="00EF14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64BE" w14:textId="77777777" w:rsidR="00512C84" w:rsidRDefault="00512C84" w:rsidP="00512C84">
      <w:pPr>
        <w:spacing w:after="0" w:line="240" w:lineRule="auto"/>
      </w:pPr>
      <w:r>
        <w:separator/>
      </w:r>
    </w:p>
  </w:endnote>
  <w:endnote w:type="continuationSeparator" w:id="0">
    <w:p w14:paraId="458D3CDE" w14:textId="77777777" w:rsidR="00512C84" w:rsidRDefault="00512C84" w:rsidP="0051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598A" w14:textId="77777777" w:rsidR="00512C84" w:rsidRDefault="00512C84" w:rsidP="00512C84">
      <w:pPr>
        <w:spacing w:after="0" w:line="240" w:lineRule="auto"/>
      </w:pPr>
      <w:r>
        <w:separator/>
      </w:r>
    </w:p>
  </w:footnote>
  <w:footnote w:type="continuationSeparator" w:id="0">
    <w:p w14:paraId="2EC84522" w14:textId="77777777" w:rsidR="00512C84" w:rsidRDefault="00512C84" w:rsidP="00512C84">
      <w:pPr>
        <w:spacing w:after="0" w:line="240" w:lineRule="auto"/>
      </w:pPr>
      <w:r>
        <w:continuationSeparator/>
      </w:r>
    </w:p>
  </w:footnote>
  <w:footnote w:id="1">
    <w:p w14:paraId="0ADC62F0" w14:textId="77777777" w:rsidR="00512C84" w:rsidRDefault="00512C84" w:rsidP="00512C84">
      <w:pPr>
        <w:pStyle w:val="FootnoteText"/>
        <w:rPr>
          <w:u w:val="single"/>
        </w:rPr>
      </w:pPr>
      <w:r>
        <w:rPr>
          <w:rStyle w:val="FootnoteReference"/>
          <w:color w:val="FF0000"/>
          <w:u w:val="single"/>
        </w:rPr>
        <w:footnoteRef/>
      </w:r>
      <w:r>
        <w:rPr>
          <w:color w:val="FF0000"/>
          <w:u w:val="single"/>
        </w:rPr>
        <w:t xml:space="preserve"> </w:t>
      </w:r>
      <w:r>
        <w:rPr>
          <w:b/>
          <w:i/>
          <w:color w:val="FF0000"/>
          <w:u w:val="single"/>
        </w:rPr>
        <w:t xml:space="preserve">Beneficial ownership information </w:t>
      </w:r>
      <w:r>
        <w:rPr>
          <w:color w:val="FF0000"/>
          <w:u w:val="single"/>
        </w:rPr>
        <w:t>for legal arrangements is the information referred to in the interpretive note to Recommendation 10, paragraph 5(b)(ii).</w:t>
      </w:r>
    </w:p>
  </w:footnote>
  <w:footnote w:id="2">
    <w:p w14:paraId="43CC44F7" w14:textId="77777777" w:rsidR="00512C84" w:rsidRDefault="00512C84" w:rsidP="00512C84">
      <w:pPr>
        <w:pStyle w:val="FootnoteText"/>
        <w:keepLines/>
        <w:rPr>
          <w:color w:val="FF0000"/>
          <w:u w:val="single"/>
        </w:rPr>
      </w:pPr>
      <w:r>
        <w:rPr>
          <w:rStyle w:val="FootnoteReference"/>
          <w:color w:val="FF0000"/>
          <w:u w:val="single"/>
        </w:rPr>
        <w:footnoteRef/>
      </w:r>
      <w:r>
        <w:rPr>
          <w:color w:val="FF0000"/>
          <w:u w:val="single"/>
        </w:rPr>
        <w:t xml:space="preserve">  Where there are no ascertainable beneficiaries at the time of setting up the trust, the trustee should obtain and hold information on the class of beneficiaries and its characteristics, or object of a power. Following a risk-based approach, countries may decide that it is not necessary to identify the individual beneficiaries of certain charitable or statutory permitted non-charitable trusts.</w:t>
      </w:r>
    </w:p>
    <w:p w14:paraId="0E7E7EEA" w14:textId="77777777" w:rsidR="00512C84" w:rsidRDefault="00512C84" w:rsidP="00512C84">
      <w:pPr>
        <w:pStyle w:val="FootnoteText"/>
        <w:keepLines/>
        <w:rPr>
          <w:u w:val="single"/>
        </w:rPr>
      </w:pPr>
    </w:p>
  </w:footnote>
  <w:footnote w:id="3">
    <w:p w14:paraId="25D79FEA" w14:textId="77777777" w:rsidR="00512C84" w:rsidRDefault="00512C84" w:rsidP="00512C84">
      <w:pPr>
        <w:pStyle w:val="FootnoteText"/>
        <w:rPr>
          <w:u w:val="single"/>
        </w:rPr>
      </w:pPr>
      <w:r>
        <w:rPr>
          <w:rStyle w:val="FootnoteReference"/>
          <w:color w:val="FF0000"/>
          <w:u w:val="single"/>
        </w:rPr>
        <w:footnoteRef/>
      </w:r>
      <w:r>
        <w:rPr>
          <w:color w:val="FF0000"/>
          <w:u w:val="single"/>
        </w:rPr>
        <w:t xml:space="preserve"> In relation to a legal arrangement, basic information means the identifier of the legal arrangement </w:t>
      </w:r>
      <w:r>
        <w:rPr>
          <w:strike/>
          <w:color w:val="FF0000"/>
          <w:u w:val="single"/>
        </w:rPr>
        <w:t>trust</w:t>
      </w:r>
      <w:r>
        <w:rPr>
          <w:color w:val="FF0000"/>
          <w:u w:val="single"/>
        </w:rPr>
        <w:t xml:space="preserve"> (e.g. the name, the unique identifier such as a tax identification number or equivalent, where this exists), the trust deed (or equivalent), the residence of the trustee/equivalent or of the place from where the legal arrangement is administered. </w:t>
      </w:r>
    </w:p>
  </w:footnote>
  <w:footnote w:id="4">
    <w:p w14:paraId="5C1EA3BB" w14:textId="77777777" w:rsidR="00512C84" w:rsidRDefault="00512C84" w:rsidP="00512C84">
      <w:pPr>
        <w:pStyle w:val="FootnoteText"/>
      </w:pPr>
      <w:r>
        <w:rPr>
          <w:rStyle w:val="FootnoteReference"/>
          <w:color w:val="FF0000"/>
          <w:u w:val="single"/>
        </w:rPr>
        <w:footnoteRef/>
      </w:r>
      <w:r>
        <w:rPr>
          <w:color w:val="FF0000"/>
          <w:u w:val="single"/>
        </w:rPr>
        <w:t xml:space="preserve"> Countries may determine what is considered a </w:t>
      </w:r>
      <w:r>
        <w:rPr>
          <w:i/>
          <w:color w:val="FF0000"/>
          <w:u w:val="single"/>
        </w:rPr>
        <w:t>sufficient link</w:t>
      </w:r>
      <w:r>
        <w:rPr>
          <w:color w:val="FF0000"/>
          <w:u w:val="single"/>
        </w:rPr>
        <w:t xml:space="preserve"> on the basis of risk. Examples of sufficiency tests may include, but are not limited to, when the trust/similar legal arrangement or a trustee or a person holding an equivalent position in a similar legal arrangement has significant and ongoing business relations with financial institutions or DNFBPs, has significant real estate/other local investment, or is a tax resident, in the country.</w:t>
      </w:r>
    </w:p>
  </w:footnote>
  <w:footnote w:id="5">
    <w:p w14:paraId="1E7C20F7" w14:textId="77777777" w:rsidR="00512C84" w:rsidRDefault="00512C84" w:rsidP="00512C84">
      <w:pPr>
        <w:pStyle w:val="FootnoteText"/>
        <w:rPr>
          <w:u w:val="single"/>
        </w:rPr>
      </w:pPr>
      <w:r>
        <w:rPr>
          <w:rStyle w:val="FootnoteReference"/>
          <w:color w:val="FF0000"/>
          <w:u w:val="single"/>
        </w:rPr>
        <w:footnoteRef/>
      </w:r>
      <w:r>
        <w:rPr>
          <w:color w:val="FF0000"/>
          <w:u w:val="single"/>
        </w:rPr>
        <w:t xml:space="preserve"> This could be done through national and/or supranational measures. These could include requiring beneficial ownership information on some types of foreign legal arrangements to be held as set out under paragraph 3.</w:t>
      </w:r>
    </w:p>
  </w:footnote>
  <w:footnote w:id="6">
    <w:p w14:paraId="1B096A04" w14:textId="77777777" w:rsidR="00512C84" w:rsidRDefault="00512C84" w:rsidP="00512C84">
      <w:pPr>
        <w:pStyle w:val="FootnoteText"/>
      </w:pPr>
      <w:r>
        <w:rPr>
          <w:rStyle w:val="FootnoteReference"/>
        </w:rPr>
        <w:footnoteRef/>
      </w:r>
      <w:r>
        <w:t xml:space="preserve"> Domestic competent authorities or the relevant competent authorities of another country pursuant to an appropriate international cooperation request.</w:t>
      </w:r>
    </w:p>
  </w:footnote>
  <w:footnote w:id="7">
    <w:p w14:paraId="5334DD77" w14:textId="77777777" w:rsidR="00512C84" w:rsidRDefault="00512C84" w:rsidP="00512C84">
      <w:pPr>
        <w:pStyle w:val="FootnoteText"/>
      </w:pPr>
      <w:r>
        <w:rPr>
          <w:rStyle w:val="FootnoteReference"/>
          <w:color w:val="FF0000"/>
          <w:u w:val="single"/>
        </w:rPr>
        <w:footnoteRef/>
      </w:r>
      <w:r>
        <w:rPr>
          <w:color w:val="FF0000"/>
          <w:u w:val="single"/>
        </w:rPr>
        <w:t xml:space="preserve"> A body could record beneficial ownership information alongside other information (e.g. tax information), or the source of information could take the form of multiple registries (e.g. for provinces or districts, for sectors, or for specific types of legal arrangements), or of a private body entrusted with this task by the public authority.</w:t>
      </w:r>
    </w:p>
  </w:footnote>
  <w:footnote w:id="8">
    <w:p w14:paraId="2E20F90C" w14:textId="77777777" w:rsidR="00512C84" w:rsidRDefault="00512C84" w:rsidP="00512C84">
      <w:pPr>
        <w:pStyle w:val="FootnoteText"/>
        <w:rPr>
          <w:u w:val="single"/>
        </w:rPr>
      </w:pPr>
      <w:r>
        <w:rPr>
          <w:rStyle w:val="FootnoteReference"/>
          <w:color w:val="FF0000"/>
          <w:u w:val="single"/>
        </w:rPr>
        <w:footnoteRef/>
      </w:r>
      <w:r>
        <w:rPr>
          <w:color w:val="FF0000"/>
          <w:u w:val="single"/>
        </w:rPr>
        <w:t xml:space="preserve"> For beneficiary(ies) of trusts/similar legal arrangement that are designated by characteristics or by class, trustees/equivalent are not expected to obtain adequate and accurate information until the person becomes entitled as beneficiary at the time of the payout or when the beneficiary intends to exercise vested rights.  </w:t>
      </w:r>
    </w:p>
  </w:footnote>
  <w:footnote w:id="9">
    <w:p w14:paraId="41FEFA88" w14:textId="77777777" w:rsidR="00512C84" w:rsidRDefault="00512C84" w:rsidP="00512C84">
      <w:pPr>
        <w:pStyle w:val="FootnoteText"/>
        <w:rPr>
          <w:u w:val="single"/>
        </w:rPr>
      </w:pPr>
      <w:r>
        <w:rPr>
          <w:rStyle w:val="FootnoteReference"/>
          <w:color w:val="FF0000"/>
          <w:u w:val="single"/>
        </w:rPr>
        <w:footnoteRef/>
      </w:r>
      <w:r>
        <w:rPr>
          <w:color w:val="FF0000"/>
          <w:u w:val="single"/>
        </w:rPr>
        <w:t xml:space="preserve"> Settlor(s), trustee(s), protector(s) (if any), beneficiary(ies) or class of beneficiaries, and any other person exercising ultimate effective control over the trusts. For a similar legal arrangement, this should include persons holding equivalent positions. Where the trustee and any other party to the legal arrangement is a legal person, the beneficial owner of that legal person should be identified.</w:t>
      </w:r>
      <w:r>
        <w:rPr>
          <w:color w:val="FF0000"/>
        </w:rPr>
        <w:t xml:space="preserve"> </w:t>
      </w:r>
    </w:p>
  </w:footnote>
  <w:footnote w:id="10">
    <w:p w14:paraId="6DDDFD95" w14:textId="77777777" w:rsidR="00512C84" w:rsidRDefault="00512C84" w:rsidP="00512C84">
      <w:pPr>
        <w:pStyle w:val="FootnoteText"/>
        <w:rPr>
          <w:lang w:val="en-US"/>
        </w:rPr>
      </w:pPr>
      <w:r>
        <w:rPr>
          <w:rStyle w:val="FootnoteReference"/>
        </w:rPr>
        <w:footnoteRef/>
      </w:r>
      <w:r>
        <w:t xml:space="preserve"> </w:t>
      </w:r>
      <w:r>
        <w:rPr>
          <w:lang w:val="en-US"/>
        </w:rPr>
        <w:t>This does not affect the requirements for effective, proportionate, and dissuasive sanctions for failure to comply with requirements elsewhere in the Recommendations.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20B75"/>
    <w:multiLevelType w:val="multilevel"/>
    <w:tmpl w:val="13A85ADA"/>
    <w:lvl w:ilvl="0">
      <w:start w:val="1"/>
      <w:numFmt w:val="decimal"/>
      <w:pStyle w:val="Heading11"/>
      <w:suff w:val="space"/>
      <w:lvlText w:val="%1."/>
      <w:lvlJc w:val="left"/>
      <w:pPr>
        <w:ind w:left="0" w:firstLine="0"/>
      </w:pPr>
      <w:rPr>
        <w:rFonts w:hint="default"/>
        <w:b/>
        <w:bCs/>
        <w:color w:val="auto"/>
      </w:rPr>
    </w:lvl>
    <w:lvl w:ilvl="1">
      <w:start w:val="1"/>
      <w:numFmt w:val="decimal"/>
      <w:pStyle w:val="Heading21"/>
      <w:suff w:val="space"/>
      <w:lvlText w:val="%1.%2."/>
      <w:lvlJc w:val="left"/>
      <w:pPr>
        <w:ind w:left="0" w:firstLine="0"/>
      </w:pPr>
      <w:rPr>
        <w:rFonts w:hint="default"/>
        <w:i w:val="0"/>
        <w:iCs w:val="0"/>
        <w:color w:val="auto"/>
      </w:rPr>
    </w:lvl>
    <w:lvl w:ilvl="2">
      <w:start w:val="1"/>
      <w:numFmt w:val="decimal"/>
      <w:pStyle w:val="Heading31"/>
      <w:suff w:val="space"/>
      <w:lvlText w:val="%1.%2.%3."/>
      <w:lvlJc w:val="left"/>
      <w:pPr>
        <w:ind w:left="680" w:firstLine="0"/>
      </w:pPr>
      <w:rPr>
        <w:rFonts w:hint="default"/>
      </w:rPr>
    </w:lvl>
    <w:lvl w:ilvl="3">
      <w:start w:val="1"/>
      <w:numFmt w:val="none"/>
      <w:pStyle w:val="Heading41"/>
      <w:suff w:val="nothing"/>
      <w:lvlText w:val=""/>
      <w:lvlJc w:val="left"/>
      <w:pPr>
        <w:ind w:left="680" w:firstLine="0"/>
      </w:pPr>
      <w:rPr>
        <w:rFonts w:hint="default"/>
      </w:rPr>
    </w:lvl>
    <w:lvl w:ilvl="4">
      <w:start w:val="1"/>
      <w:numFmt w:val="none"/>
      <w:pStyle w:val="Heading51"/>
      <w:suff w:val="nothing"/>
      <w:lvlText w:val=""/>
      <w:lvlJc w:val="left"/>
      <w:pPr>
        <w:ind w:left="680" w:firstLine="0"/>
      </w:pPr>
      <w:rPr>
        <w:rFonts w:hint="default"/>
      </w:rPr>
    </w:lvl>
    <w:lvl w:ilvl="5">
      <w:start w:val="1"/>
      <w:numFmt w:val="none"/>
      <w:pStyle w:val="Part1"/>
      <w:suff w:val="nothing"/>
      <w:lvlText w:val=""/>
      <w:lvlJc w:val="left"/>
      <w:pPr>
        <w:ind w:left="680" w:firstLine="0"/>
      </w:pPr>
      <w:rPr>
        <w:rFonts w:hint="default"/>
      </w:rPr>
    </w:lvl>
    <w:lvl w:ilvl="6">
      <w:start w:val="1"/>
      <w:numFmt w:val="upperLetter"/>
      <w:lvlRestart w:val="0"/>
      <w:pStyle w:val="DocAnnX1"/>
      <w:suff w:val="space"/>
      <w:lvlText w:val="Annex %7."/>
      <w:lvlJc w:val="center"/>
      <w:pPr>
        <w:ind w:left="0" w:firstLine="288"/>
      </w:pPr>
      <w:rPr>
        <w:rFonts w:hint="default"/>
      </w:rPr>
    </w:lvl>
    <w:lvl w:ilvl="7">
      <w:start w:val="1"/>
      <w:numFmt w:val="none"/>
      <w:pStyle w:val="PartAnnX1"/>
      <w:suff w:val="nothing"/>
      <w:lvlText w:val=""/>
      <w:lvlJc w:val="left"/>
      <w:pPr>
        <w:ind w:left="680" w:firstLine="0"/>
      </w:pPr>
      <w:rPr>
        <w:rFonts w:hint="default"/>
      </w:rPr>
    </w:lvl>
    <w:lvl w:ilvl="8">
      <w:start w:val="1"/>
      <w:numFmt w:val="none"/>
      <w:pStyle w:val="ChapAnnX1"/>
      <w:suff w:val="nothing"/>
      <w:lvlText w:val=""/>
      <w:lvlJc w:val="left"/>
      <w:pPr>
        <w:ind w:left="680" w:firstLine="0"/>
      </w:pPr>
      <w:rPr>
        <w:rFonts w:hint="default"/>
      </w:rPr>
    </w:lvl>
  </w:abstractNum>
  <w:abstractNum w:abstractNumId="1" w15:restartNumberingAfterBreak="0">
    <w:nsid w:val="5FC96A1A"/>
    <w:multiLevelType w:val="hybridMultilevel"/>
    <w:tmpl w:val="65F4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84"/>
    <w:rsid w:val="00512C84"/>
    <w:rsid w:val="00A043FB"/>
    <w:rsid w:val="00A30A04"/>
    <w:rsid w:val="00A33A0F"/>
    <w:rsid w:val="00A607C0"/>
    <w:rsid w:val="00C26054"/>
    <w:rsid w:val="00C52A89"/>
    <w:rsid w:val="00C61766"/>
    <w:rsid w:val="00EF1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8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2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semiHidden/>
    <w:unhideWhenUsed/>
    <w:qFormat/>
    <w:rsid w:val="00512C8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2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C84"/>
    <w:rPr>
      <w:sz w:val="20"/>
      <w:szCs w:val="20"/>
    </w:rPr>
  </w:style>
  <w:style w:type="paragraph" w:customStyle="1" w:styleId="Heading11">
    <w:name w:val="Heading 11"/>
    <w:basedOn w:val="Normal"/>
    <w:next w:val="Normal"/>
    <w:uiPriority w:val="1"/>
    <w:qFormat/>
    <w:rsid w:val="00512C84"/>
    <w:pPr>
      <w:keepNext/>
      <w:keepLines/>
      <w:numPr>
        <w:numId w:val="1"/>
      </w:numPr>
      <w:tabs>
        <w:tab w:val="num" w:pos="360"/>
        <w:tab w:val="left" w:pos="850"/>
        <w:tab w:val="left" w:pos="1191"/>
        <w:tab w:val="left" w:pos="1531"/>
      </w:tabs>
      <w:spacing w:before="480" w:after="240" w:line="240" w:lineRule="auto"/>
      <w:outlineLvl w:val="0"/>
    </w:pPr>
    <w:rPr>
      <w:rFonts w:ascii="Times New Roman" w:hAnsi="Times New Roman" w:cs="Times New Roman"/>
      <w:b/>
      <w:bCs/>
      <w:color w:val="4E81BD"/>
      <w:kern w:val="28"/>
      <w:sz w:val="24"/>
      <w:szCs w:val="20"/>
    </w:rPr>
  </w:style>
  <w:style w:type="paragraph" w:customStyle="1" w:styleId="Heading21">
    <w:name w:val="Heading 21"/>
    <w:basedOn w:val="Normal"/>
    <w:next w:val="Normal"/>
    <w:uiPriority w:val="1"/>
    <w:qFormat/>
    <w:rsid w:val="00512C84"/>
    <w:pPr>
      <w:keepNext/>
      <w:numPr>
        <w:ilvl w:val="1"/>
        <w:numId w:val="1"/>
      </w:numPr>
      <w:tabs>
        <w:tab w:val="num" w:pos="360"/>
        <w:tab w:val="left" w:pos="850"/>
        <w:tab w:val="left" w:pos="1191"/>
        <w:tab w:val="left" w:pos="1531"/>
      </w:tabs>
      <w:spacing w:before="240" w:after="240" w:line="240" w:lineRule="auto"/>
      <w:ind w:right="680"/>
      <w:outlineLvl w:val="1"/>
    </w:pPr>
    <w:rPr>
      <w:rFonts w:ascii="Times New Roman" w:hAnsi="Times New Roman" w:cs="Times New Roman"/>
      <w:b/>
      <w:bCs/>
      <w:sz w:val="24"/>
    </w:rPr>
  </w:style>
  <w:style w:type="paragraph" w:customStyle="1" w:styleId="Heading31">
    <w:name w:val="Heading 31"/>
    <w:basedOn w:val="Normal"/>
    <w:next w:val="Normal"/>
    <w:uiPriority w:val="1"/>
    <w:qFormat/>
    <w:rsid w:val="00512C84"/>
    <w:pPr>
      <w:keepNext/>
      <w:keepLines/>
      <w:numPr>
        <w:ilvl w:val="2"/>
        <w:numId w:val="1"/>
      </w:numPr>
      <w:tabs>
        <w:tab w:val="num" w:pos="360"/>
        <w:tab w:val="left" w:pos="850"/>
        <w:tab w:val="left" w:pos="1191"/>
        <w:tab w:val="left" w:pos="1531"/>
      </w:tabs>
      <w:spacing w:before="240" w:after="120" w:line="240" w:lineRule="auto"/>
      <w:ind w:left="0" w:right="680"/>
      <w:outlineLvl w:val="2"/>
    </w:pPr>
    <w:rPr>
      <w:rFonts w:ascii="Times New Roman" w:hAnsi="Times New Roman" w:cs="Times New Roman"/>
      <w:b/>
      <w:bCs/>
      <w:i/>
      <w:iCs/>
      <w:color w:val="262626"/>
      <w:sz w:val="24"/>
    </w:rPr>
  </w:style>
  <w:style w:type="paragraph" w:customStyle="1" w:styleId="Heading41">
    <w:name w:val="Heading 41"/>
    <w:basedOn w:val="Normal"/>
    <w:next w:val="Normal"/>
    <w:uiPriority w:val="1"/>
    <w:qFormat/>
    <w:rsid w:val="00512C84"/>
    <w:pPr>
      <w:keepNext/>
      <w:keepLines/>
      <w:numPr>
        <w:ilvl w:val="3"/>
        <w:numId w:val="1"/>
      </w:numPr>
      <w:tabs>
        <w:tab w:val="num" w:pos="360"/>
        <w:tab w:val="left" w:pos="850"/>
        <w:tab w:val="left" w:pos="1191"/>
        <w:tab w:val="left" w:pos="1531"/>
      </w:tabs>
      <w:spacing w:before="240" w:after="120" w:line="240" w:lineRule="auto"/>
      <w:ind w:left="0" w:right="680"/>
      <w:outlineLvl w:val="3"/>
    </w:pPr>
    <w:rPr>
      <w:rFonts w:ascii="Times New Roman" w:hAnsi="Times New Roman" w:cs="Times New Roman"/>
      <w:i/>
      <w:iCs/>
      <w:color w:val="000000"/>
      <w:sz w:val="24"/>
    </w:rPr>
  </w:style>
  <w:style w:type="paragraph" w:customStyle="1" w:styleId="Heading51">
    <w:name w:val="Heading 51"/>
    <w:basedOn w:val="Normal"/>
    <w:next w:val="Normal"/>
    <w:uiPriority w:val="1"/>
    <w:qFormat/>
    <w:rsid w:val="00512C84"/>
    <w:pPr>
      <w:keepNext/>
      <w:keepLines/>
      <w:numPr>
        <w:ilvl w:val="4"/>
        <w:numId w:val="1"/>
      </w:numPr>
      <w:tabs>
        <w:tab w:val="num" w:pos="360"/>
        <w:tab w:val="left" w:pos="850"/>
        <w:tab w:val="left" w:pos="1191"/>
        <w:tab w:val="left" w:pos="1531"/>
      </w:tabs>
      <w:spacing w:before="240" w:after="120" w:line="240" w:lineRule="auto"/>
      <w:ind w:left="0" w:right="680"/>
      <w:outlineLvl w:val="4"/>
    </w:pPr>
    <w:rPr>
      <w:rFonts w:ascii="Times New Roman" w:hAnsi="Times New Roman" w:cs="Times New Roman"/>
      <w:color w:val="000000"/>
      <w:sz w:val="24"/>
    </w:rPr>
  </w:style>
  <w:style w:type="paragraph" w:customStyle="1" w:styleId="Part1">
    <w:name w:val="Part1"/>
    <w:basedOn w:val="Normal"/>
    <w:next w:val="Heading1"/>
    <w:uiPriority w:val="1"/>
    <w:qFormat/>
    <w:rsid w:val="00512C84"/>
    <w:pPr>
      <w:keepNext/>
      <w:numPr>
        <w:ilvl w:val="5"/>
        <w:numId w:val="1"/>
      </w:numPr>
      <w:tabs>
        <w:tab w:val="num" w:pos="360"/>
        <w:tab w:val="left" w:pos="850"/>
        <w:tab w:val="left" w:pos="1191"/>
        <w:tab w:val="left" w:pos="1531"/>
      </w:tabs>
      <w:spacing w:before="1200" w:after="720" w:line="240" w:lineRule="auto"/>
      <w:ind w:left="0"/>
      <w:jc w:val="center"/>
      <w:outlineLvl w:val="5"/>
    </w:pPr>
    <w:rPr>
      <w:rFonts w:ascii="Times New Roman" w:hAnsi="Times New Roman" w:cs="Times New Roman"/>
      <w:b/>
      <w:color w:val="4E81BD"/>
      <w:sz w:val="28"/>
    </w:rPr>
  </w:style>
  <w:style w:type="paragraph" w:customStyle="1" w:styleId="DocAnnX1">
    <w:name w:val="Doc AnnX1"/>
    <w:basedOn w:val="Normal"/>
    <w:next w:val="Normal"/>
    <w:uiPriority w:val="12"/>
    <w:qFormat/>
    <w:rsid w:val="00512C84"/>
    <w:pPr>
      <w:keepNext/>
      <w:numPr>
        <w:ilvl w:val="6"/>
        <w:numId w:val="1"/>
      </w:numPr>
      <w:tabs>
        <w:tab w:val="num" w:pos="360"/>
        <w:tab w:val="left" w:pos="850"/>
        <w:tab w:val="left" w:pos="1191"/>
        <w:tab w:val="left" w:pos="1531"/>
      </w:tabs>
      <w:spacing w:before="1200" w:after="720" w:line="240" w:lineRule="auto"/>
      <w:ind w:firstLine="0"/>
      <w:jc w:val="center"/>
      <w:outlineLvl w:val="6"/>
    </w:pPr>
    <w:rPr>
      <w:rFonts w:ascii="Times New Roman" w:hAnsi="Times New Roman" w:cs="Times New Roman"/>
      <w:b/>
      <w:color w:val="4E81BD"/>
      <w:sz w:val="28"/>
    </w:rPr>
  </w:style>
  <w:style w:type="paragraph" w:customStyle="1" w:styleId="PartAnnX1">
    <w:name w:val="Part AnnX1"/>
    <w:next w:val="Normal"/>
    <w:uiPriority w:val="9"/>
    <w:rsid w:val="00512C84"/>
    <w:pPr>
      <w:keepNext/>
      <w:pageBreakBefore/>
      <w:numPr>
        <w:ilvl w:val="7"/>
        <w:numId w:val="1"/>
      </w:numPr>
      <w:tabs>
        <w:tab w:val="num" w:pos="360"/>
      </w:tabs>
      <w:spacing w:before="1200" w:after="720" w:line="240" w:lineRule="auto"/>
      <w:ind w:left="0"/>
      <w:jc w:val="center"/>
      <w:outlineLvl w:val="7"/>
    </w:pPr>
    <w:rPr>
      <w:rFonts w:ascii="Times New Roman" w:eastAsia="Dotum" w:hAnsi="Times New Roman" w:cs="Times New Roman"/>
      <w:b/>
      <w:color w:val="4E81BD"/>
      <w:sz w:val="28"/>
      <w:szCs w:val="21"/>
    </w:rPr>
  </w:style>
  <w:style w:type="paragraph" w:customStyle="1" w:styleId="ChapAnnX1">
    <w:name w:val="Chap AnnX1"/>
    <w:basedOn w:val="Heading8"/>
    <w:next w:val="Normal"/>
    <w:uiPriority w:val="14"/>
    <w:qFormat/>
    <w:rsid w:val="00512C84"/>
    <w:pPr>
      <w:keepLines w:val="0"/>
      <w:pageBreakBefore/>
      <w:numPr>
        <w:ilvl w:val="8"/>
        <w:numId w:val="1"/>
      </w:numPr>
      <w:tabs>
        <w:tab w:val="num" w:pos="360"/>
        <w:tab w:val="left" w:pos="850"/>
        <w:tab w:val="left" w:pos="1191"/>
        <w:tab w:val="left" w:pos="1531"/>
      </w:tabs>
      <w:spacing w:before="1200" w:after="720" w:line="240" w:lineRule="auto"/>
      <w:ind w:left="0"/>
      <w:jc w:val="center"/>
      <w:outlineLvl w:val="8"/>
    </w:pPr>
    <w:rPr>
      <w:rFonts w:ascii="Times New Roman" w:eastAsia="Times New Roman" w:hAnsi="Times New Roman"/>
      <w:b/>
      <w:color w:val="4E81BD"/>
      <w:sz w:val="28"/>
      <w:szCs w:val="20"/>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link w:val="Char2"/>
    <w:uiPriority w:val="99"/>
    <w:unhideWhenUsed/>
    <w:qFormat/>
    <w:rsid w:val="00512C84"/>
    <w:rPr>
      <w:rFonts w:ascii="Times New Roman" w:hAnsi="Times New Roman"/>
      <w:vertAlign w:val="superscript"/>
    </w:rPr>
  </w:style>
  <w:style w:type="paragraph" w:customStyle="1" w:styleId="Char2">
    <w:name w:val="Char2"/>
    <w:basedOn w:val="Normal"/>
    <w:link w:val="FootnoteReference"/>
    <w:uiPriority w:val="99"/>
    <w:rsid w:val="00512C84"/>
    <w:pPr>
      <w:spacing w:before="200" w:after="200" w:line="240" w:lineRule="exact"/>
    </w:pPr>
    <w:rPr>
      <w:rFonts w:ascii="Times New Roman" w:hAnsi="Times New Roman"/>
      <w:vertAlign w:val="superscript"/>
    </w:rPr>
  </w:style>
  <w:style w:type="character" w:customStyle="1" w:styleId="Heading1Char">
    <w:name w:val="Heading 1 Char"/>
    <w:basedOn w:val="DefaultParagraphFont"/>
    <w:link w:val="Heading1"/>
    <w:uiPriority w:val="9"/>
    <w:rsid w:val="00512C84"/>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512C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A043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04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F.Publicconsultation@fatf-ga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12551</Characters>
  <Application>Microsoft Office Word</Application>
  <DocSecurity>0</DocSecurity>
  <Lines>199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2022-10-25T12:53:00Z</dcterms:created>
  <dcterms:modified xsi:type="dcterms:W3CDTF">2022-10-25T12:53:00Z</dcterms:modified>
</cp:coreProperties>
</file>